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ind w:left="298"/>
        <w:spacing w:before="387" w:line="219" w:lineRule="auto"/>
        <w:rPr>
          <w:rFonts w:ascii="SimSun" w:hAnsi="SimSun" w:eastAsia="SimSun" w:cs="SimSun"/>
          <w:sz w:val="119"/>
          <w:szCs w:val="119"/>
        </w:rPr>
      </w:pPr>
      <w:r>
        <w:rPr>
          <w:rFonts w:ascii="SimSun" w:hAnsi="SimSun" w:eastAsia="SimSun" w:cs="SimSun"/>
          <w:sz w:val="119"/>
          <w:szCs w:val="119"/>
          <w:b/>
          <w:bCs/>
          <w:color w:val="F51800"/>
          <w:spacing w:val="-77"/>
          <w:w w:val="53"/>
        </w:rPr>
        <w:t>山东省国家知识产权保护中心文件</w:t>
      </w:r>
    </w:p>
    <w:p>
      <w:pPr>
        <w:spacing w:line="277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ind w:left="2699"/>
        <w:spacing w:before="107" w:line="221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18"/>
        </w:rPr>
        <w:t>鲁知保中心字(2023)24号</w:t>
      </w:r>
    </w:p>
    <w:p>
      <w:pPr>
        <w:spacing w:before="56" w:line="60" w:lineRule="exact"/>
        <w:textAlignment w:val="center"/>
        <w:rPr/>
      </w:pPr>
      <w:r>
        <w:drawing>
          <wp:inline distT="0" distB="0" distL="0" distR="0">
            <wp:extent cx="5816587" cy="38068"/>
            <wp:effectExtent l="0" t="0" r="0" b="0"/>
            <wp:docPr id="1" name="IM 1"/>
            <wp:cNvGraphicFramePr/>
            <a:graphic>
              <a:graphicData uri="http://schemas.openxmlformats.org/drawingml/2006/picture">
                <pic:pic>
                  <pic:nvPicPr>
                    <pic:cNvPr id="1" name="IM 1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816587" cy="38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87" w:lineRule="auto"/>
        <w:rPr>
          <w:rFonts w:ascii="Arial"/>
          <w:sz w:val="21"/>
        </w:rPr>
      </w:pPr>
      <w:r/>
    </w:p>
    <w:p>
      <w:pPr>
        <w:ind w:left="426" w:right="133" w:hanging="220"/>
        <w:spacing w:before="152" w:line="219" w:lineRule="auto"/>
        <w:rPr>
          <w:rFonts w:ascii="SimSun" w:hAnsi="SimSun" w:eastAsia="SimSun" w:cs="SimSun"/>
          <w:sz w:val="47"/>
          <w:szCs w:val="47"/>
        </w:rPr>
      </w:pPr>
      <w:r>
        <w:rPr>
          <w:rFonts w:ascii="SimSun" w:hAnsi="SimSun" w:eastAsia="SimSun" w:cs="SimSun"/>
          <w:sz w:val="47"/>
          <w:szCs w:val="47"/>
          <w:b/>
          <w:bCs/>
          <w:spacing w:val="-34"/>
        </w:rPr>
        <w:t>关于印发《山东省国家知识产权保护中心备案</w:t>
      </w:r>
      <w:r>
        <w:rPr>
          <w:rFonts w:ascii="SimSun" w:hAnsi="SimSun" w:eastAsia="SimSun" w:cs="SimSun"/>
          <w:sz w:val="47"/>
          <w:szCs w:val="47"/>
        </w:rPr>
        <w:t xml:space="preserve"> </w:t>
      </w:r>
      <w:r>
        <w:rPr>
          <w:rFonts w:ascii="SimSun" w:hAnsi="SimSun" w:eastAsia="SimSun" w:cs="SimSun"/>
          <w:sz w:val="47"/>
          <w:szCs w:val="47"/>
          <w:b/>
          <w:bCs/>
          <w:spacing w:val="-9"/>
        </w:rPr>
        <w:t>主体及代理机构管理办法(修订)》的通知</w:t>
      </w:r>
    </w:p>
    <w:p>
      <w:pPr>
        <w:spacing w:line="289" w:lineRule="auto"/>
        <w:rPr>
          <w:rFonts w:ascii="Arial"/>
          <w:sz w:val="21"/>
        </w:rPr>
      </w:pPr>
      <w:r/>
    </w:p>
    <w:p>
      <w:pPr>
        <w:spacing w:line="290" w:lineRule="auto"/>
        <w:rPr>
          <w:rFonts w:ascii="Arial"/>
          <w:sz w:val="21"/>
        </w:rPr>
      </w:pPr>
      <w:r/>
    </w:p>
    <w:p>
      <w:pPr>
        <w:ind w:left="199"/>
        <w:spacing w:before="108" w:line="221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18"/>
        </w:rPr>
        <w:t>各相关单位：</w:t>
      </w:r>
    </w:p>
    <w:p>
      <w:pPr>
        <w:ind w:left="199" w:right="5" w:firstLine="700"/>
        <w:spacing w:before="196" w:line="313" w:lineRule="auto"/>
        <w:jc w:val="both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16"/>
        </w:rPr>
        <w:t>为规范备案主体及代理机构管理工作，提高专利预审服务质</w:t>
      </w:r>
      <w:r>
        <w:rPr>
          <w:rFonts w:ascii="FangSong" w:hAnsi="FangSong" w:eastAsia="FangSong" w:cs="FangSong"/>
          <w:sz w:val="33"/>
          <w:szCs w:val="33"/>
          <w:spacing w:val="7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-13"/>
        </w:rPr>
        <w:t>量和效能，推进知识产权领域诚信体系建设，我中心对</w:t>
      </w:r>
      <w:r>
        <w:rPr>
          <w:rFonts w:ascii="FangSong" w:hAnsi="FangSong" w:eastAsia="FangSong" w:cs="FangSong"/>
          <w:sz w:val="33"/>
          <w:szCs w:val="33"/>
          <w:spacing w:val="-14"/>
        </w:rPr>
        <w:t>《山东省</w:t>
      </w:r>
      <w:r>
        <w:rPr>
          <w:rFonts w:ascii="FangSong" w:hAnsi="FangSong" w:eastAsia="FangSong" w:cs="FangSong"/>
          <w:sz w:val="33"/>
          <w:szCs w:val="33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1"/>
        </w:rPr>
        <w:t>国家知识产权保护中心备案主体及代理机构管理办法(暂行)》</w:t>
      </w:r>
    </w:p>
    <w:p>
      <w:pPr>
        <w:ind w:left="199"/>
        <w:spacing w:line="220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10"/>
        </w:rPr>
        <w:t>进行了修订。现印发给你们，请认真贯彻执行。</w:t>
      </w:r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ind w:left="4289"/>
        <w:spacing w:before="108" w:line="221" w:lineRule="auto"/>
        <w:rPr>
          <w:rFonts w:ascii="FangSong" w:hAnsi="FangSong" w:eastAsia="FangSong" w:cs="FangSong"/>
          <w:sz w:val="33"/>
          <w:szCs w:val="33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3384526</wp:posOffset>
            </wp:positionH>
            <wp:positionV relativeFrom="paragraph">
              <wp:posOffset>-406480</wp:posOffset>
            </wp:positionV>
            <wp:extent cx="1498654" cy="1536748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98654" cy="15367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33"/>
          <w:szCs w:val="33"/>
          <w:spacing w:val="-11"/>
        </w:rPr>
        <w:t>山东省国家知识产杖保护中心</w:t>
      </w:r>
    </w:p>
    <w:p>
      <w:pPr>
        <w:ind w:left="5019"/>
        <w:spacing w:before="239" w:line="222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31"/>
        </w:rPr>
        <w:t>2023年10月10日</w:t>
      </w:r>
    </w:p>
    <w:p>
      <w:pPr>
        <w:sectPr>
          <w:footerReference w:type="default" r:id="rId1"/>
          <w:pgSz w:w="11910" w:h="16840"/>
          <w:pgMar w:top="1431" w:right="1400" w:bottom="1082" w:left="1349" w:header="0" w:footer="754" w:gutter="0"/>
        </w:sectPr>
        <w:rPr/>
      </w:pPr>
    </w:p>
    <w:p>
      <w:pPr>
        <w:spacing w:line="287" w:lineRule="auto"/>
        <w:rPr>
          <w:rFonts w:ascii="Arial"/>
          <w:sz w:val="21"/>
        </w:rPr>
      </w:pPr>
      <w:r/>
    </w:p>
    <w:p>
      <w:pPr>
        <w:spacing w:line="287" w:lineRule="auto"/>
        <w:rPr>
          <w:rFonts w:ascii="Arial"/>
          <w:sz w:val="21"/>
        </w:rPr>
      </w:pPr>
      <w:r/>
    </w:p>
    <w:p>
      <w:pPr>
        <w:spacing w:line="288" w:lineRule="auto"/>
        <w:rPr>
          <w:rFonts w:ascii="Arial"/>
          <w:sz w:val="21"/>
        </w:rPr>
      </w:pPr>
      <w:r/>
    </w:p>
    <w:p>
      <w:pPr>
        <w:spacing w:line="288" w:lineRule="auto"/>
        <w:rPr>
          <w:rFonts w:ascii="Arial"/>
          <w:sz w:val="21"/>
        </w:rPr>
      </w:pPr>
      <w:r/>
    </w:p>
    <w:p>
      <w:pPr>
        <w:ind w:left="1596"/>
        <w:spacing w:before="143" w:line="219" w:lineRule="auto"/>
        <w:rPr>
          <w:rFonts w:ascii="SimSun" w:hAnsi="SimSun" w:eastAsia="SimSun" w:cs="SimSun"/>
          <w:sz w:val="44"/>
          <w:szCs w:val="44"/>
        </w:rPr>
      </w:pPr>
      <w:r>
        <w:rPr>
          <w:rFonts w:ascii="SimSun" w:hAnsi="SimSun" w:eastAsia="SimSun" w:cs="SimSun"/>
          <w:sz w:val="44"/>
          <w:szCs w:val="44"/>
          <w:b/>
          <w:bCs/>
          <w:spacing w:val="-7"/>
        </w:rPr>
        <w:t>山东省国家知识产权保护中心</w:t>
      </w:r>
    </w:p>
    <w:p>
      <w:pPr>
        <w:ind w:left="666"/>
        <w:spacing w:before="25" w:line="219" w:lineRule="auto"/>
        <w:rPr>
          <w:rFonts w:ascii="SimSun" w:hAnsi="SimSun" w:eastAsia="SimSun" w:cs="SimSun"/>
          <w:sz w:val="44"/>
          <w:szCs w:val="44"/>
        </w:rPr>
      </w:pPr>
      <w:r>
        <w:rPr>
          <w:rFonts w:ascii="SimSun" w:hAnsi="SimSun" w:eastAsia="SimSun" w:cs="SimSun"/>
          <w:sz w:val="44"/>
          <w:szCs w:val="44"/>
          <w:b/>
          <w:bCs/>
          <w:spacing w:val="13"/>
        </w:rPr>
        <w:t>备案主体及代理机构管理办法(修订)</w:t>
      </w:r>
    </w:p>
    <w:p>
      <w:pPr>
        <w:spacing w:line="315" w:lineRule="auto"/>
        <w:rPr>
          <w:rFonts w:ascii="Arial"/>
          <w:sz w:val="21"/>
        </w:rPr>
      </w:pPr>
      <w:r/>
    </w:p>
    <w:p>
      <w:pPr>
        <w:spacing w:line="315" w:lineRule="auto"/>
        <w:rPr>
          <w:rFonts w:ascii="Arial"/>
          <w:sz w:val="21"/>
        </w:rPr>
      </w:pPr>
      <w:r/>
    </w:p>
    <w:p>
      <w:pPr>
        <w:ind w:left="3454"/>
        <w:spacing w:before="101" w:line="222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5"/>
        </w:rPr>
        <w:t>第一章</w:t>
      </w:r>
      <w:r>
        <w:rPr>
          <w:rFonts w:ascii="SimHei" w:hAnsi="SimHei" w:eastAsia="SimHei" w:cs="SimHei"/>
          <w:sz w:val="31"/>
          <w:szCs w:val="31"/>
          <w:spacing w:val="9"/>
        </w:rPr>
        <w:t xml:space="preserve">  </w:t>
      </w:r>
      <w:r>
        <w:rPr>
          <w:rFonts w:ascii="SimHei" w:hAnsi="SimHei" w:eastAsia="SimHei" w:cs="SimHei"/>
          <w:sz w:val="31"/>
          <w:szCs w:val="31"/>
          <w:b/>
          <w:bCs/>
          <w:spacing w:val="5"/>
        </w:rPr>
        <w:t>总则</w:t>
      </w:r>
    </w:p>
    <w:p>
      <w:pPr>
        <w:ind w:firstLine="664"/>
        <w:spacing w:before="188" w:line="34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9"/>
        </w:rPr>
        <w:t>第一条</w:t>
      </w:r>
      <w:r>
        <w:rPr>
          <w:rFonts w:ascii="FangSong" w:hAnsi="FangSong" w:eastAsia="FangSong" w:cs="FangSong"/>
          <w:sz w:val="31"/>
          <w:szCs w:val="31"/>
          <w:spacing w:val="1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为更好发挥专利预审服务对山东省知识产权工作的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5"/>
        </w:rPr>
        <w:t>促进作用，推进知识产权领域诚信体系建设，提升山东省国家知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6"/>
        </w:rPr>
        <w:t>识产权保护中心(以下简称山东保护中心)专利预审服务质量和</w:t>
      </w:r>
      <w:r>
        <w:rPr>
          <w:rFonts w:ascii="FangSong" w:hAnsi="FangSong" w:eastAsia="FangSong" w:cs="FangSong"/>
          <w:sz w:val="31"/>
          <w:szCs w:val="31"/>
          <w:spacing w:val="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1"/>
        </w:rPr>
        <w:t>效率，根据《关于开展知识产权快速协同保护工作的</w:t>
      </w:r>
      <w:r>
        <w:rPr>
          <w:rFonts w:ascii="FangSong" w:hAnsi="FangSong" w:eastAsia="FangSong" w:cs="FangSong"/>
          <w:sz w:val="31"/>
          <w:szCs w:val="31"/>
          <w:spacing w:val="10"/>
        </w:rPr>
        <w:t>通知》(国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0"/>
        </w:rPr>
        <w:t>知发管字〔2016〕92号)、《专利领域严重失信联合惩戒对</w:t>
      </w:r>
      <w:r>
        <w:rPr>
          <w:rFonts w:ascii="FangSong" w:hAnsi="FangSong" w:eastAsia="FangSong" w:cs="FangSong"/>
          <w:sz w:val="31"/>
          <w:szCs w:val="31"/>
          <w:spacing w:val="19"/>
        </w:rPr>
        <w:t>象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7"/>
        </w:rPr>
        <w:t>名单管理办法(试行)》</w:t>
      </w:r>
      <w:r>
        <w:rPr>
          <w:rFonts w:ascii="FangSong" w:hAnsi="FangSong" w:eastAsia="FangSong" w:cs="FangSong"/>
          <w:sz w:val="31"/>
          <w:szCs w:val="31"/>
          <w:spacing w:val="15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7"/>
        </w:rPr>
        <w:t>(国知发保字〔2019〕52号)、</w:t>
      </w:r>
      <w:r>
        <w:rPr>
          <w:rFonts w:ascii="FangSong" w:hAnsi="FangSong" w:eastAsia="FangSong" w:cs="FangSong"/>
          <w:sz w:val="31"/>
          <w:szCs w:val="31"/>
          <w:spacing w:val="-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7"/>
        </w:rPr>
        <w:t>《</w:t>
      </w:r>
      <w:r>
        <w:rPr>
          <w:rFonts w:ascii="FangSong" w:hAnsi="FangSong" w:eastAsia="FangSong" w:cs="FangSong"/>
          <w:sz w:val="31"/>
          <w:szCs w:val="31"/>
          <w:spacing w:val="-1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7"/>
        </w:rPr>
        <w:t>市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1"/>
        </w:rPr>
        <w:t>场监督管理严重违法失信名单管理办法》(国家市场监督</w:t>
      </w:r>
      <w:r>
        <w:rPr>
          <w:rFonts w:ascii="FangSong" w:hAnsi="FangSong" w:eastAsia="FangSong" w:cs="FangSong"/>
          <w:sz w:val="31"/>
          <w:szCs w:val="31"/>
          <w:spacing w:val="10"/>
        </w:rPr>
        <w:t>管理总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局令第44号)、</w:t>
      </w:r>
      <w:r>
        <w:rPr>
          <w:rFonts w:ascii="FangSong" w:hAnsi="FangSong" w:eastAsia="FangSong" w:cs="FangSong"/>
          <w:sz w:val="31"/>
          <w:szCs w:val="31"/>
          <w:spacing w:val="23"/>
        </w:rPr>
        <w:t xml:space="preserve">  </w:t>
      </w:r>
      <w:r>
        <w:rPr>
          <w:rFonts w:ascii="FangSong" w:hAnsi="FangSong" w:eastAsia="FangSong" w:cs="FangSong"/>
          <w:sz w:val="31"/>
          <w:szCs w:val="31"/>
          <w:spacing w:val="6"/>
        </w:rPr>
        <w:t>《关于规范申请专利行为的办法》</w:t>
      </w:r>
      <w:r>
        <w:rPr>
          <w:rFonts w:ascii="FangSong" w:hAnsi="FangSong" w:eastAsia="FangSong" w:cs="FangSong"/>
          <w:sz w:val="31"/>
          <w:szCs w:val="31"/>
          <w:spacing w:val="12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(国家知识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产权局公告第411号)、</w:t>
      </w:r>
      <w:r>
        <w:rPr>
          <w:rFonts w:ascii="FangSong" w:hAnsi="FangSong" w:eastAsia="FangSong" w:cs="FangSong"/>
          <w:sz w:val="31"/>
          <w:szCs w:val="31"/>
          <w:spacing w:val="14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《专利、商标代理行业违法违规行为协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"/>
        </w:rPr>
        <w:t>同治理办法》</w:t>
      </w:r>
      <w:r>
        <w:rPr>
          <w:rFonts w:ascii="FangSong" w:hAnsi="FangSong" w:eastAsia="FangSong" w:cs="FangSong"/>
          <w:sz w:val="31"/>
          <w:szCs w:val="31"/>
          <w:spacing w:val="5"/>
        </w:rPr>
        <w:t xml:space="preserve">  </w:t>
      </w:r>
      <w:r>
        <w:rPr>
          <w:rFonts w:ascii="FangSong" w:hAnsi="FangSong" w:eastAsia="FangSong" w:cs="FangSong"/>
          <w:sz w:val="31"/>
          <w:szCs w:val="31"/>
          <w:spacing w:val="-1"/>
        </w:rPr>
        <w:t>(国知办发运字〔2021〕31</w:t>
      </w:r>
      <w:r>
        <w:rPr>
          <w:rFonts w:ascii="FangSong" w:hAnsi="FangSong" w:eastAsia="FangSong" w:cs="FangSong"/>
          <w:sz w:val="31"/>
          <w:szCs w:val="31"/>
          <w:spacing w:val="-6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"/>
        </w:rPr>
        <w:t>号</w:t>
      </w:r>
      <w:r>
        <w:rPr>
          <w:rFonts w:ascii="FangSong" w:hAnsi="FangSong" w:eastAsia="FangSong" w:cs="FangSong"/>
          <w:sz w:val="31"/>
          <w:szCs w:val="31"/>
          <w:spacing w:val="-3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"/>
        </w:rPr>
        <w:t>)</w:t>
      </w:r>
      <w:r>
        <w:rPr>
          <w:rFonts w:ascii="FangSong" w:hAnsi="FangSong" w:eastAsia="FangSong" w:cs="FangSong"/>
          <w:sz w:val="31"/>
          <w:szCs w:val="31"/>
          <w:spacing w:val="-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"/>
        </w:rPr>
        <w:t>、</w:t>
      </w:r>
      <w:r>
        <w:rPr>
          <w:rFonts w:ascii="FangSong" w:hAnsi="FangSong" w:eastAsia="FangSong" w:cs="FangSong"/>
          <w:sz w:val="31"/>
          <w:szCs w:val="31"/>
          <w:spacing w:val="-1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《专利代理条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例》、《专利代理管理办法》(国家市场监督</w:t>
      </w:r>
      <w:r>
        <w:rPr>
          <w:rFonts w:ascii="FangSong" w:hAnsi="FangSong" w:eastAsia="FangSong" w:cs="FangSong"/>
          <w:sz w:val="31"/>
          <w:szCs w:val="31"/>
          <w:spacing w:val="3"/>
        </w:rPr>
        <w:t>管理总局令第6号)、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0"/>
        </w:rPr>
        <w:t>《专利申请预审业务管理办法(试行)》(国知办发办字(2023)</w:t>
      </w:r>
    </w:p>
    <w:p>
      <w:pPr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1"/>
        </w:rPr>
        <w:t>25号)等文件要求，制定本办法。</w:t>
      </w:r>
    </w:p>
    <w:p>
      <w:pPr>
        <w:ind w:left="664"/>
        <w:spacing w:before="194" w:line="611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11"/>
          <w:position w:val="22"/>
        </w:rPr>
        <w:t>第二条</w:t>
      </w:r>
      <w:r>
        <w:rPr>
          <w:rFonts w:ascii="FangSong" w:hAnsi="FangSong" w:eastAsia="FangSong" w:cs="FangSong"/>
          <w:sz w:val="31"/>
          <w:szCs w:val="31"/>
          <w:spacing w:val="16"/>
          <w:position w:val="2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1"/>
          <w:position w:val="22"/>
        </w:rPr>
        <w:t>本办法适用于山东保护中心开展的发明、实用新型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和外观设计等专利申请预审工作管理。</w:t>
      </w:r>
    </w:p>
    <w:p>
      <w:pPr>
        <w:ind w:left="664"/>
        <w:spacing w:before="190" w:line="570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11"/>
          <w:position w:val="19"/>
        </w:rPr>
        <w:t>第三条</w:t>
      </w:r>
      <w:r>
        <w:rPr>
          <w:rFonts w:ascii="FangSong" w:hAnsi="FangSong" w:eastAsia="FangSong" w:cs="FangSong"/>
          <w:sz w:val="31"/>
          <w:szCs w:val="31"/>
          <w:spacing w:val="6"/>
          <w:position w:val="1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1"/>
          <w:position w:val="19"/>
        </w:rPr>
        <w:t>本办法所称备案主体是指通过山东保护中心注册备</w:t>
      </w:r>
    </w:p>
    <w:p>
      <w:pPr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案审核，并经国家知识产权局核准备案的企事业单位创新主体。</w:t>
      </w:r>
    </w:p>
    <w:p>
      <w:pPr>
        <w:sectPr>
          <w:footerReference w:type="default" r:id="rId4"/>
          <w:pgSz w:w="11910" w:h="16840"/>
          <w:pgMar w:top="1431" w:right="1424" w:bottom="1117" w:left="1539" w:header="0" w:footer="809" w:gutter="0"/>
        </w:sectPr>
        <w:rPr/>
      </w:pPr>
    </w:p>
    <w:p>
      <w:pPr>
        <w:spacing w:line="315" w:lineRule="auto"/>
        <w:rPr>
          <w:rFonts w:ascii="Arial"/>
          <w:sz w:val="21"/>
        </w:rPr>
      </w:pPr>
      <w:r/>
    </w:p>
    <w:p>
      <w:pPr>
        <w:spacing w:line="315" w:lineRule="auto"/>
        <w:rPr>
          <w:rFonts w:ascii="Arial"/>
          <w:sz w:val="21"/>
        </w:rPr>
      </w:pPr>
      <w:r/>
    </w:p>
    <w:p>
      <w:pPr>
        <w:spacing w:before="101" w:line="581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  <w:position w:val="20"/>
        </w:rPr>
        <w:t>本办法所称代理机构是指经国家知识产权局批准设立，并通过山</w:t>
      </w:r>
    </w:p>
    <w:p>
      <w:pPr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东保护中心注册审核的代理机构。</w:t>
      </w:r>
    </w:p>
    <w:p>
      <w:pPr>
        <w:ind w:right="56" w:firstLine="644"/>
        <w:spacing w:before="184" w:line="340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9"/>
        </w:rPr>
        <w:t>第四条</w:t>
      </w:r>
      <w:r>
        <w:rPr>
          <w:rFonts w:ascii="FangSong" w:hAnsi="FangSong" w:eastAsia="FangSong" w:cs="FangSong"/>
          <w:sz w:val="31"/>
          <w:szCs w:val="31"/>
          <w:spacing w:val="2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山东保护中心负责创新主体的注册备案审核、</w:t>
      </w:r>
      <w:r>
        <w:rPr>
          <w:rFonts w:ascii="FangSong" w:hAnsi="FangSong" w:eastAsia="FangSong" w:cs="FangSong"/>
          <w:sz w:val="31"/>
          <w:szCs w:val="31"/>
          <w:spacing w:val="8"/>
        </w:rPr>
        <w:t>代理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5"/>
        </w:rPr>
        <w:t>机构的注册审核及后续的管理工作。备案主体可向山东保</w:t>
      </w:r>
      <w:r>
        <w:rPr>
          <w:rFonts w:ascii="FangSong" w:hAnsi="FangSong" w:eastAsia="FangSong" w:cs="FangSong"/>
          <w:sz w:val="31"/>
          <w:szCs w:val="31"/>
          <w:spacing w:val="4"/>
        </w:rPr>
        <w:t>护中心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5"/>
        </w:rPr>
        <w:t>提交专利预审申请。代理机构可为备案主体提交到山东保</w:t>
      </w:r>
      <w:r>
        <w:rPr>
          <w:rFonts w:ascii="FangSong" w:hAnsi="FangSong" w:eastAsia="FangSong" w:cs="FangSong"/>
          <w:sz w:val="31"/>
          <w:szCs w:val="31"/>
          <w:spacing w:val="4"/>
        </w:rPr>
        <w:t>护中心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的专利预审申请提供代理服务。</w:t>
      </w:r>
    </w:p>
    <w:p>
      <w:pPr>
        <w:ind w:left="644"/>
        <w:spacing w:before="199" w:line="575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9"/>
          <w:position w:val="19"/>
        </w:rPr>
        <w:t>第五条</w:t>
      </w:r>
      <w:r>
        <w:rPr>
          <w:rFonts w:ascii="FangSong" w:hAnsi="FangSong" w:eastAsia="FangSong" w:cs="FangSong"/>
          <w:sz w:val="31"/>
          <w:szCs w:val="31"/>
          <w:spacing w:val="29"/>
          <w:position w:val="1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  <w:position w:val="19"/>
        </w:rPr>
        <w:t>备案主体及代理机构管理的总体原则是公平公正、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优质高效、规范有序。</w:t>
      </w:r>
    </w:p>
    <w:p>
      <w:pPr>
        <w:spacing w:line="343" w:lineRule="auto"/>
        <w:rPr>
          <w:rFonts w:ascii="Arial"/>
          <w:sz w:val="21"/>
        </w:rPr>
      </w:pPr>
      <w:r/>
    </w:p>
    <w:p>
      <w:pPr>
        <w:spacing w:line="344" w:lineRule="auto"/>
        <w:rPr>
          <w:rFonts w:ascii="Arial"/>
          <w:sz w:val="21"/>
        </w:rPr>
      </w:pPr>
      <w:r/>
    </w:p>
    <w:p>
      <w:pPr>
        <w:ind w:left="2994"/>
        <w:spacing w:before="102" w:line="222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3"/>
        </w:rPr>
        <w:t>第二章</w:t>
      </w:r>
      <w:r>
        <w:rPr>
          <w:rFonts w:ascii="SimHei" w:hAnsi="SimHei" w:eastAsia="SimHei" w:cs="SimHei"/>
          <w:sz w:val="31"/>
          <w:szCs w:val="31"/>
          <w:spacing w:val="11"/>
        </w:rPr>
        <w:t xml:space="preserve">  </w:t>
      </w:r>
      <w:r>
        <w:rPr>
          <w:rFonts w:ascii="SimHei" w:hAnsi="SimHei" w:eastAsia="SimHei" w:cs="SimHei"/>
          <w:sz w:val="31"/>
          <w:szCs w:val="31"/>
          <w:b/>
          <w:bCs/>
          <w:spacing w:val="3"/>
        </w:rPr>
        <w:t>注册、备案</w:t>
      </w:r>
    </w:p>
    <w:p>
      <w:pPr>
        <w:ind w:left="644"/>
        <w:spacing w:before="187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6"/>
        </w:rPr>
        <w:t>第六条</w:t>
      </w:r>
      <w:r>
        <w:rPr>
          <w:rFonts w:ascii="FangSong" w:hAnsi="FangSong" w:eastAsia="FangSong" w:cs="FangSong"/>
          <w:sz w:val="31"/>
          <w:szCs w:val="31"/>
          <w:spacing w:val="2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创新主体申请注册、备案需满足以下条件：</w:t>
      </w:r>
    </w:p>
    <w:p>
      <w:pPr>
        <w:ind w:left="799"/>
        <w:spacing w:before="220" w:line="572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0"/>
          <w:position w:val="19"/>
        </w:rPr>
        <w:t>(一)登记注册地在山东省行政区域内，且具有独立法人资</w:t>
      </w:r>
    </w:p>
    <w:p>
      <w:pPr>
        <w:spacing w:before="2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格的企业、高校及科研院所等企事业单位；</w:t>
      </w:r>
    </w:p>
    <w:p>
      <w:pPr>
        <w:ind w:right="61" w:firstLine="799"/>
        <w:spacing w:before="199" w:line="34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0"/>
        </w:rPr>
        <w:t>(二)主要生产、研发或经营方向属于海洋或新一代信息技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术产业领域，产业领域以山东保护中心在国家知识产权局备</w:t>
      </w:r>
      <w:r>
        <w:rPr>
          <w:rFonts w:ascii="FangSong" w:hAnsi="FangSong" w:eastAsia="FangSong" w:cs="FangSong"/>
          <w:sz w:val="31"/>
          <w:szCs w:val="31"/>
          <w:spacing w:val="3"/>
        </w:rPr>
        <w:t>案的</w:t>
      </w:r>
    </w:p>
    <w:p>
      <w:pPr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</w:rPr>
        <w:t>IPC</w:t>
      </w:r>
      <w:r>
        <w:rPr>
          <w:rFonts w:ascii="FangSong" w:hAnsi="FangSong" w:eastAsia="FangSong" w:cs="FangSong"/>
          <w:sz w:val="31"/>
          <w:szCs w:val="31"/>
          <w:spacing w:val="-1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分类号和洛迦诺分类号为准；</w:t>
      </w:r>
    </w:p>
    <w:p>
      <w:pPr>
        <w:ind w:left="799"/>
        <w:spacing w:before="192" w:line="573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0"/>
          <w:position w:val="19"/>
        </w:rPr>
        <w:t>(三)具有良好的知识产权工作基础，有稳定的知识产权管</w:t>
      </w:r>
    </w:p>
    <w:p>
      <w:pPr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理团队，已建立规范的知识产权管理制度；</w:t>
      </w:r>
    </w:p>
    <w:p>
      <w:pPr>
        <w:ind w:left="799"/>
        <w:spacing w:before="196" w:line="571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1"/>
          <w:position w:val="19"/>
        </w:rPr>
        <w:t>(四)无恶意专利侵权、非正常申请专利、骗取专利资助等</w:t>
      </w:r>
    </w:p>
    <w:p>
      <w:pPr>
        <w:spacing w:before="2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知识产权领域失信行为或其他不良信用记录。</w:t>
      </w:r>
    </w:p>
    <w:p>
      <w:pPr>
        <w:ind w:left="644"/>
        <w:spacing w:before="206" w:line="581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11"/>
          <w:position w:val="20"/>
        </w:rPr>
        <w:t>第七条</w:t>
      </w:r>
      <w:r>
        <w:rPr>
          <w:rFonts w:ascii="FangSong" w:hAnsi="FangSong" w:eastAsia="FangSong" w:cs="FangSong"/>
          <w:sz w:val="31"/>
          <w:szCs w:val="31"/>
          <w:spacing w:val="39"/>
          <w:position w:val="2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1"/>
          <w:position w:val="20"/>
        </w:rPr>
        <w:t>创新主体在预审管理平台进行注册及备案申请，需</w:t>
      </w:r>
    </w:p>
    <w:p>
      <w:pPr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提交以下材料并承诺真实有效：</w:t>
      </w:r>
    </w:p>
    <w:p>
      <w:pPr>
        <w:sectPr>
          <w:footerReference w:type="default" r:id="rId5"/>
          <w:pgSz w:w="11910" w:h="16840"/>
          <w:pgMar w:top="1431" w:right="1445" w:bottom="1177" w:left="1589" w:header="0" w:footer="870" w:gutter="0"/>
        </w:sectPr>
        <w:rPr/>
      </w:pPr>
    </w:p>
    <w:p>
      <w:pPr>
        <w:spacing w:line="330" w:lineRule="auto"/>
        <w:rPr>
          <w:rFonts w:ascii="Arial"/>
          <w:sz w:val="21"/>
        </w:rPr>
      </w:pPr>
      <w:r/>
    </w:p>
    <w:p>
      <w:pPr>
        <w:spacing w:line="331" w:lineRule="auto"/>
        <w:rPr>
          <w:rFonts w:ascii="Arial"/>
          <w:sz w:val="21"/>
        </w:rPr>
      </w:pPr>
      <w:r/>
    </w:p>
    <w:p>
      <w:pPr>
        <w:ind w:left="799"/>
        <w:spacing w:before="101" w:line="568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9"/>
          <w:position w:val="19"/>
        </w:rPr>
        <w:t>(一)《山东省国家知识产权保护中心专利快速预审服务备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9"/>
        </w:rPr>
        <w:t>案申请表》</w:t>
      </w:r>
      <w:r>
        <w:rPr>
          <w:rFonts w:ascii="FangSong" w:hAnsi="FangSong" w:eastAsia="FangSong" w:cs="FangSong"/>
          <w:sz w:val="31"/>
          <w:szCs w:val="31"/>
          <w:spacing w:val="11"/>
        </w:rPr>
        <w:t xml:space="preserve">  </w:t>
      </w:r>
      <w:r>
        <w:rPr>
          <w:rFonts w:ascii="FangSong" w:hAnsi="FangSong" w:eastAsia="FangSong" w:cs="FangSong"/>
          <w:sz w:val="31"/>
          <w:szCs w:val="31"/>
          <w:spacing w:val="9"/>
        </w:rPr>
        <w:t>(加盖公章);</w:t>
      </w:r>
    </w:p>
    <w:p>
      <w:pPr>
        <w:ind w:left="799"/>
        <w:spacing w:before="201" w:line="573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6"/>
          <w:position w:val="19"/>
        </w:rPr>
        <w:t>(二)企业营业执照复印件或事业单位法人证书复印件(加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9"/>
        </w:rPr>
        <w:t>盖公章);</w:t>
      </w:r>
    </w:p>
    <w:p>
      <w:pPr>
        <w:ind w:left="799"/>
        <w:spacing w:before="192" w:line="574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6"/>
          <w:position w:val="19"/>
        </w:rPr>
        <w:t>(三)上一年度财务报表中涉及研发投入证明材料(加盖公</w:t>
      </w:r>
    </w:p>
    <w:p>
      <w:pPr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2"/>
        </w:rPr>
        <w:t>章</w:t>
      </w:r>
      <w:r>
        <w:rPr>
          <w:rFonts w:ascii="FangSong" w:hAnsi="FangSong" w:eastAsia="FangSong" w:cs="FangSong"/>
          <w:sz w:val="31"/>
          <w:szCs w:val="31"/>
          <w:spacing w:val="-3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2"/>
        </w:rPr>
        <w:t>)</w:t>
      </w:r>
      <w:r>
        <w:rPr>
          <w:rFonts w:ascii="FangSong" w:hAnsi="FangSong" w:eastAsia="FangSong" w:cs="FangSong"/>
          <w:sz w:val="31"/>
          <w:szCs w:val="31"/>
          <w:spacing w:val="-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2"/>
        </w:rPr>
        <w:t>;</w:t>
      </w:r>
    </w:p>
    <w:p>
      <w:pPr>
        <w:ind w:left="799"/>
        <w:spacing w:before="191" w:line="575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6"/>
          <w:position w:val="19"/>
        </w:rPr>
        <w:t>(四)在职研发人员情况简介和缴纳社保信息材料(加盖公</w:t>
      </w:r>
    </w:p>
    <w:p>
      <w:pPr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2"/>
        </w:rPr>
        <w:t>章</w:t>
      </w:r>
      <w:r>
        <w:rPr>
          <w:rFonts w:ascii="FangSong" w:hAnsi="FangSong" w:eastAsia="FangSong" w:cs="FangSong"/>
          <w:sz w:val="31"/>
          <w:szCs w:val="31"/>
          <w:spacing w:val="-3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2"/>
        </w:rPr>
        <w:t>)</w:t>
      </w:r>
      <w:r>
        <w:rPr>
          <w:rFonts w:ascii="FangSong" w:hAnsi="FangSong" w:eastAsia="FangSong" w:cs="FangSong"/>
          <w:sz w:val="31"/>
          <w:szCs w:val="31"/>
          <w:spacing w:val="-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2"/>
        </w:rPr>
        <w:t>;</w:t>
      </w:r>
    </w:p>
    <w:p>
      <w:pPr>
        <w:ind w:firstLine="799"/>
        <w:spacing w:before="192" w:line="33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(五)创新主体认为有必要提交的证明材料，包</w:t>
      </w:r>
      <w:r>
        <w:rPr>
          <w:rFonts w:ascii="FangSong" w:hAnsi="FangSong" w:eastAsia="FangSong" w:cs="FangSong"/>
          <w:sz w:val="31"/>
          <w:szCs w:val="31"/>
          <w:spacing w:val="2"/>
        </w:rPr>
        <w:t>括但不限于：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5"/>
        </w:rPr>
        <w:t>专利申请及授权情况，获得政府部门及认证机构认定的各类资</w:t>
      </w:r>
    </w:p>
    <w:p>
      <w:pPr>
        <w:spacing w:before="1" w:line="21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质、荣誉等，知识产权转化运用情况等；</w:t>
      </w:r>
    </w:p>
    <w:p>
      <w:pPr>
        <w:ind w:left="799"/>
        <w:spacing w:before="226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5"/>
        </w:rPr>
        <w:t>(六)山东保护中心要求提供的其他证明材料。</w:t>
      </w:r>
    </w:p>
    <w:p>
      <w:pPr>
        <w:ind w:right="70" w:firstLine="684"/>
        <w:spacing w:before="175" w:line="34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9"/>
        </w:rPr>
        <w:t>第八条</w:t>
      </w:r>
      <w:r>
        <w:rPr>
          <w:rFonts w:ascii="FangSong" w:hAnsi="FangSong" w:eastAsia="FangSong" w:cs="FangSong"/>
          <w:sz w:val="31"/>
          <w:szCs w:val="31"/>
          <w:spacing w:val="3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山东保护中心根据创新主体累计专利有效量，近三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年的专利申请及授权量，专利运用、保护及管理情况，研发创新</w:t>
      </w:r>
      <w:r>
        <w:rPr>
          <w:rFonts w:ascii="FangSong" w:hAnsi="FangSong" w:eastAsia="FangSong" w:cs="FangSong"/>
          <w:sz w:val="31"/>
          <w:szCs w:val="31"/>
          <w:spacing w:val="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能力及资质，信用记录等情况进行综合评估，择优选取创新主体</w:t>
      </w:r>
      <w:r>
        <w:rPr>
          <w:rFonts w:ascii="FangSong" w:hAnsi="FangSong" w:eastAsia="FangSong" w:cs="FangSong"/>
          <w:sz w:val="31"/>
          <w:szCs w:val="31"/>
          <w:spacing w:val="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纳入拟备案名单范围，对于前三年内有专利不诚信行为的企事业</w:t>
      </w:r>
      <w:r>
        <w:rPr>
          <w:rFonts w:ascii="FangSong" w:hAnsi="FangSong" w:eastAsia="FangSong" w:cs="FangSong"/>
          <w:sz w:val="31"/>
          <w:szCs w:val="31"/>
          <w:spacing w:val="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单位的备案请求，不予备案；山东保护中心将拟备案名单提交至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国家知识产权局复核，经核准后定期公布备案主体名单。</w:t>
      </w:r>
    </w:p>
    <w:p>
      <w:pPr>
        <w:ind w:left="684"/>
        <w:spacing w:before="220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4"/>
        </w:rPr>
        <w:t>第九条</w:t>
      </w:r>
      <w:r>
        <w:rPr>
          <w:rFonts w:ascii="FangSong" w:hAnsi="FangSong" w:eastAsia="FangSong" w:cs="FangSong"/>
          <w:sz w:val="31"/>
          <w:szCs w:val="31"/>
          <w:spacing w:val="2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代理机构申请注册需满足以下条件：</w:t>
      </w:r>
    </w:p>
    <w:p>
      <w:pPr>
        <w:ind w:left="799"/>
        <w:spacing w:before="225" w:line="570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0"/>
          <w:position w:val="19"/>
        </w:rPr>
        <w:t>(一)经国家知识产权局批准设立的具有专利代理资格的律</w:t>
      </w:r>
    </w:p>
    <w:p>
      <w:pPr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师事务所或专利代理机构等；</w:t>
      </w:r>
    </w:p>
    <w:p>
      <w:pPr>
        <w:ind w:left="799"/>
        <w:spacing w:before="192" w:line="21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(二)在国家知识产权局“专利代理管理系统"中状态为“正</w:t>
      </w:r>
    </w:p>
    <w:p>
      <w:pPr>
        <w:sectPr>
          <w:footerReference w:type="default" r:id="rId6"/>
          <w:pgSz w:w="11910" w:h="16840"/>
          <w:pgMar w:top="1431" w:right="1395" w:bottom="1167" w:left="1579" w:header="0" w:footer="859" w:gutter="0"/>
        </w:sectPr>
        <w:rPr/>
      </w:pPr>
    </w:p>
    <w:p>
      <w:pPr>
        <w:spacing w:line="307" w:lineRule="auto"/>
        <w:rPr>
          <w:rFonts w:ascii="Arial"/>
          <w:sz w:val="21"/>
        </w:rPr>
      </w:pPr>
      <w:r/>
    </w:p>
    <w:p>
      <w:pPr>
        <w:spacing w:line="307" w:lineRule="auto"/>
        <w:rPr>
          <w:rFonts w:ascii="Arial"/>
          <w:sz w:val="21"/>
        </w:rPr>
      </w:pPr>
      <w:r/>
    </w:p>
    <w:p>
      <w:pPr>
        <w:spacing w:before="10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0"/>
        </w:rPr>
        <w:t>常”;</w:t>
      </w:r>
    </w:p>
    <w:p>
      <w:pPr>
        <w:ind w:left="789"/>
        <w:spacing w:before="214" w:line="572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  <w:position w:val="19"/>
        </w:rPr>
        <w:t>(三)近三年内无违反《专利代理条例》等有关规定的行为，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没有被列入国家知识产权局确定的经营异常名录；</w:t>
      </w:r>
    </w:p>
    <w:p>
      <w:pPr>
        <w:ind w:right="82" w:firstLine="789"/>
        <w:spacing w:before="195" w:line="33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1"/>
        </w:rPr>
        <w:t>(四)无专利代理违法、专利代理师资格证书挂靠、代理非</w:t>
      </w:r>
      <w:r>
        <w:rPr>
          <w:rFonts w:ascii="FangSong" w:hAnsi="FangSong" w:eastAsia="FangSong" w:cs="FangSong"/>
          <w:sz w:val="31"/>
          <w:szCs w:val="31"/>
          <w:spacing w:val="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正常专利申请、提供虚假材料、骗取专利资助、恶意侵犯知识产</w:t>
      </w:r>
    </w:p>
    <w:p>
      <w:pPr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权等知识产权领域失信行为或其他不良信用记</w:t>
      </w:r>
      <w:r>
        <w:rPr>
          <w:rFonts w:ascii="FangSong" w:hAnsi="FangSong" w:eastAsia="FangSong" w:cs="FangSong"/>
          <w:sz w:val="31"/>
          <w:szCs w:val="31"/>
          <w:spacing w:val="7"/>
        </w:rPr>
        <w:t>录。</w:t>
      </w:r>
    </w:p>
    <w:p>
      <w:pPr>
        <w:ind w:left="644"/>
        <w:spacing w:before="187" w:line="581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12"/>
          <w:position w:val="20"/>
        </w:rPr>
        <w:t>第十条</w:t>
      </w:r>
      <w:r>
        <w:rPr>
          <w:rFonts w:ascii="FangSong" w:hAnsi="FangSong" w:eastAsia="FangSong" w:cs="FangSong"/>
          <w:sz w:val="31"/>
          <w:szCs w:val="31"/>
          <w:spacing w:val="16"/>
          <w:position w:val="2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2"/>
          <w:position w:val="20"/>
        </w:rPr>
        <w:t>代理机构在预审管理平台进行注册申请，需提交以</w:t>
      </w:r>
    </w:p>
    <w:p>
      <w:pPr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下材料并承诺真实有效：</w:t>
      </w:r>
    </w:p>
    <w:p>
      <w:pPr>
        <w:ind w:left="789"/>
        <w:spacing w:before="221" w:line="569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1"/>
          <w:position w:val="19"/>
        </w:rPr>
        <w:t>(一)《山东省国家知识产权保护中心专利代理机构注册申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5"/>
        </w:rPr>
        <w:t>请表》</w:t>
      </w:r>
      <w:r>
        <w:rPr>
          <w:rFonts w:ascii="FangSong" w:hAnsi="FangSong" w:eastAsia="FangSong" w:cs="FangSong"/>
          <w:sz w:val="31"/>
          <w:szCs w:val="31"/>
          <w:spacing w:val="10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5"/>
        </w:rPr>
        <w:t>(加盖公章);</w:t>
      </w:r>
    </w:p>
    <w:p>
      <w:pPr>
        <w:ind w:left="789"/>
        <w:spacing w:before="203" w:line="571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3"/>
          <w:position w:val="19"/>
        </w:rPr>
        <w:t>(二)营业执照复印件及专利代理机构执业许可证复印件</w:t>
      </w:r>
    </w:p>
    <w:p>
      <w:pPr>
        <w:ind w:left="159"/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4"/>
        </w:rPr>
        <w:t>(加盖公章);</w:t>
      </w:r>
    </w:p>
    <w:p>
      <w:pPr>
        <w:ind w:left="789"/>
        <w:spacing w:before="195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6"/>
        </w:rPr>
        <w:t>(三)法定代表人身份证复印件；</w:t>
      </w:r>
    </w:p>
    <w:p>
      <w:pPr>
        <w:ind w:left="789"/>
        <w:spacing w:before="195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5"/>
        </w:rPr>
        <w:t>(四)山东保护中心要求提供的其他证明材料。</w:t>
      </w:r>
    </w:p>
    <w:p>
      <w:pPr>
        <w:ind w:right="89" w:firstLine="644"/>
        <w:spacing w:before="199" w:line="34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11"/>
        </w:rPr>
        <w:t>第十一条</w:t>
      </w:r>
      <w:r>
        <w:rPr>
          <w:rFonts w:ascii="FangSong" w:hAnsi="FangSong" w:eastAsia="FangSong" w:cs="FangSong"/>
          <w:sz w:val="31"/>
          <w:szCs w:val="31"/>
          <w:spacing w:val="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1"/>
        </w:rPr>
        <w:t>经山东保护中心注册审核通过的代理机构方可为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5"/>
        </w:rPr>
        <w:t>备案主体提供专利预审代理服务。代理机构注册工作的开展方式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和具体时间以山东保护中心的工作通知为准。</w:t>
      </w:r>
    </w:p>
    <w:p>
      <w:pPr>
        <w:ind w:left="644"/>
        <w:spacing w:before="200" w:line="570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11"/>
          <w:position w:val="19"/>
        </w:rPr>
        <w:t>第十二条</w:t>
      </w:r>
      <w:r>
        <w:rPr>
          <w:rFonts w:ascii="FangSong" w:hAnsi="FangSong" w:eastAsia="FangSong" w:cs="FangSong"/>
          <w:sz w:val="31"/>
          <w:szCs w:val="31"/>
          <w:spacing w:val="23"/>
          <w:position w:val="1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1"/>
          <w:position w:val="19"/>
        </w:rPr>
        <w:t>备案主体及代理机构应保证单位名称、统一社会</w:t>
      </w:r>
    </w:p>
    <w:p>
      <w:pPr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信用代码、联系方式等信息的准确性。</w:t>
      </w:r>
    </w:p>
    <w:p>
      <w:pPr>
        <w:ind w:right="78" w:firstLine="640"/>
        <w:spacing w:before="231" w:line="33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8"/>
        </w:rPr>
        <w:t>企业营业执照或事业单位法人证书中单位名称信息发生变</w:t>
      </w:r>
      <w:r>
        <w:rPr>
          <w:rFonts w:ascii="FangSong" w:hAnsi="FangSong" w:eastAsia="FangSong" w:cs="FangSong"/>
          <w:sz w:val="31"/>
          <w:szCs w:val="31"/>
          <w:spacing w:val="1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5"/>
        </w:rPr>
        <w:t>更的，应及时提交登记机关出具的变更材料和变更后的企业营业</w:t>
      </w:r>
    </w:p>
    <w:p>
      <w:pPr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执照或事业单位法人证书复印件，相关材料须加盖公章。</w:t>
      </w:r>
    </w:p>
    <w:p>
      <w:pPr>
        <w:sectPr>
          <w:footerReference w:type="default" r:id="rId7"/>
          <w:pgSz w:w="11910" w:h="16840"/>
          <w:pgMar w:top="1431" w:right="1374" w:bottom="1175" w:left="1599" w:header="0" w:footer="870" w:gutter="0"/>
        </w:sectPr>
        <w:rPr/>
      </w:pPr>
    </w:p>
    <w:p>
      <w:pPr>
        <w:spacing w:line="332" w:lineRule="auto"/>
        <w:rPr>
          <w:rFonts w:ascii="Arial"/>
          <w:sz w:val="21"/>
        </w:rPr>
      </w:pPr>
      <w:r/>
    </w:p>
    <w:p>
      <w:pPr>
        <w:spacing w:line="333" w:lineRule="auto"/>
        <w:rPr>
          <w:rFonts w:ascii="Arial"/>
          <w:sz w:val="21"/>
        </w:rPr>
      </w:pPr>
      <w:r/>
    </w:p>
    <w:p>
      <w:pPr>
        <w:ind w:right="49" w:firstLine="670"/>
        <w:spacing w:before="98" w:line="345" w:lineRule="auto"/>
        <w:jc w:val="both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3"/>
        </w:rPr>
        <w:t>单位名称变更审核合格前，备案主体及代理机构不得提交专</w:t>
      </w:r>
      <w:r>
        <w:rPr>
          <w:rFonts w:ascii="FangSong" w:hAnsi="FangSong" w:eastAsia="FangSong" w:cs="FangSong"/>
          <w:sz w:val="30"/>
          <w:szCs w:val="30"/>
          <w:spacing w:val="4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4"/>
        </w:rPr>
        <w:t>利预审服务申请。其他信息发生变更的，备案主体及代理机构</w:t>
      </w:r>
      <w:r>
        <w:rPr>
          <w:rFonts w:ascii="FangSong" w:hAnsi="FangSong" w:eastAsia="FangSong" w:cs="FangSong"/>
          <w:sz w:val="30"/>
          <w:szCs w:val="30"/>
          <w:spacing w:val="13"/>
        </w:rPr>
        <w:t>应</w:t>
      </w:r>
    </w:p>
    <w:p>
      <w:pPr>
        <w:spacing w:line="222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2"/>
        </w:rPr>
        <w:t>于七日内及时更新。</w:t>
      </w:r>
    </w:p>
    <w:p>
      <w:pPr>
        <w:spacing w:line="341" w:lineRule="auto"/>
        <w:rPr>
          <w:rFonts w:ascii="Arial"/>
          <w:sz w:val="21"/>
        </w:rPr>
      </w:pPr>
      <w:r/>
    </w:p>
    <w:p>
      <w:pPr>
        <w:spacing w:line="342" w:lineRule="auto"/>
        <w:rPr>
          <w:rFonts w:ascii="Arial"/>
          <w:sz w:val="21"/>
        </w:rPr>
      </w:pPr>
      <w:r/>
    </w:p>
    <w:p>
      <w:pPr>
        <w:ind w:left="2534"/>
        <w:spacing w:before="97" w:line="222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b/>
          <w:bCs/>
          <w:spacing w:val="15"/>
        </w:rPr>
        <w:t>第三章</w:t>
      </w:r>
      <w:r>
        <w:rPr>
          <w:rFonts w:ascii="FangSong" w:hAnsi="FangSong" w:eastAsia="FangSong" w:cs="FangSong"/>
          <w:sz w:val="30"/>
          <w:szCs w:val="30"/>
          <w:spacing w:val="4"/>
        </w:rPr>
        <w:t xml:space="preserve">  </w:t>
      </w:r>
      <w:r>
        <w:rPr>
          <w:rFonts w:ascii="FangSong" w:hAnsi="FangSong" w:eastAsia="FangSong" w:cs="FangSong"/>
          <w:sz w:val="30"/>
          <w:szCs w:val="30"/>
          <w:b/>
          <w:bCs/>
          <w:spacing w:val="15"/>
        </w:rPr>
        <w:t>专利预审服务管理</w:t>
      </w:r>
    </w:p>
    <w:p>
      <w:pPr>
        <w:ind w:right="9" w:firstLine="674"/>
        <w:spacing w:before="209" w:line="352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b/>
          <w:bCs/>
          <w:spacing w:val="19"/>
        </w:rPr>
        <w:t>第十三条</w:t>
      </w:r>
      <w:r>
        <w:rPr>
          <w:rFonts w:ascii="FangSong" w:hAnsi="FangSong" w:eastAsia="FangSong" w:cs="FangSong"/>
          <w:sz w:val="30"/>
          <w:szCs w:val="30"/>
          <w:spacing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9"/>
        </w:rPr>
        <w:t>备案主体及代理机构要积极配合山东保护中心专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6"/>
        </w:rPr>
        <w:t>利预审服务工作，遵守专利预审服务相关管理规定，</w:t>
      </w:r>
      <w:r>
        <w:rPr>
          <w:rFonts w:ascii="FangSong" w:hAnsi="FangSong" w:eastAsia="FangSong" w:cs="FangSong"/>
          <w:sz w:val="30"/>
          <w:szCs w:val="30"/>
          <w:spacing w:val="15"/>
        </w:rPr>
        <w:t>及时跟进专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6"/>
        </w:rPr>
        <w:t>利预审服务事项，积极参加山东保护中心组织的培训、座谈等相</w:t>
      </w:r>
    </w:p>
    <w:p>
      <w:pPr>
        <w:spacing w:before="1" w:line="223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2"/>
        </w:rPr>
        <w:t>关活动。</w:t>
      </w:r>
    </w:p>
    <w:p>
      <w:pPr>
        <w:ind w:left="674"/>
        <w:spacing w:before="200" w:line="573" w:lineRule="exac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b/>
          <w:bCs/>
          <w:spacing w:val="19"/>
          <w:position w:val="20"/>
        </w:rPr>
        <w:t>第十四条</w:t>
      </w:r>
      <w:r>
        <w:rPr>
          <w:rFonts w:ascii="FangSong" w:hAnsi="FangSong" w:eastAsia="FangSong" w:cs="FangSong"/>
          <w:sz w:val="30"/>
          <w:szCs w:val="30"/>
          <w:spacing w:val="28"/>
          <w:position w:val="2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9"/>
          <w:position w:val="20"/>
        </w:rPr>
        <w:t>备案主体及代理机构要自觉遵守各级知识产权行</w:t>
      </w:r>
    </w:p>
    <w:p>
      <w:pPr>
        <w:spacing w:line="221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7"/>
        </w:rPr>
        <w:t>政管理部门关于信用建设、知识产权管理等相关规定。</w:t>
      </w:r>
    </w:p>
    <w:p>
      <w:pPr>
        <w:ind w:firstLine="674"/>
        <w:spacing w:before="207" w:line="351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b/>
          <w:bCs/>
          <w:spacing w:val="19"/>
        </w:rPr>
        <w:t>第十五条</w:t>
      </w:r>
      <w:r>
        <w:rPr>
          <w:rFonts w:ascii="FangSong" w:hAnsi="FangSong" w:eastAsia="FangSong" w:cs="FangSong"/>
          <w:sz w:val="30"/>
          <w:szCs w:val="30"/>
          <w:spacing w:val="12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9"/>
        </w:rPr>
        <w:t>备案主体及代理机构要自觉遵守《山</w:t>
      </w:r>
      <w:r>
        <w:rPr>
          <w:rFonts w:ascii="FangSong" w:hAnsi="FangSong" w:eastAsia="FangSong" w:cs="FangSong"/>
          <w:sz w:val="30"/>
          <w:szCs w:val="30"/>
          <w:spacing w:val="18"/>
        </w:rPr>
        <w:t>东省国家知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31"/>
        </w:rPr>
        <w:t>识产权保护中心专利申请快速预审服务承诺书(试行</w:t>
      </w:r>
      <w:r>
        <w:rPr>
          <w:rFonts w:ascii="FangSong" w:hAnsi="FangSong" w:eastAsia="FangSong" w:cs="FangSong"/>
          <w:sz w:val="30"/>
          <w:szCs w:val="30"/>
          <w:spacing w:val="30"/>
        </w:rPr>
        <w:t>)》(以下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21"/>
        </w:rPr>
        <w:t>简称《承诺书》)和《山东省国家知识产权保护中心专利申请快</w:t>
      </w:r>
      <w:r>
        <w:rPr>
          <w:rFonts w:ascii="FangSong" w:hAnsi="FangSong" w:eastAsia="FangSong" w:cs="FangSong"/>
          <w:sz w:val="30"/>
          <w:szCs w:val="30"/>
          <w:spacing w:val="2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25"/>
        </w:rPr>
        <w:t>速预审服务申请须知(试行)》</w:t>
      </w:r>
      <w:r>
        <w:rPr>
          <w:rFonts w:ascii="FangSong" w:hAnsi="FangSong" w:eastAsia="FangSong" w:cs="FangSong"/>
          <w:sz w:val="30"/>
          <w:szCs w:val="30"/>
          <w:spacing w:val="30"/>
        </w:rPr>
        <w:t xml:space="preserve">  </w:t>
      </w:r>
      <w:r>
        <w:rPr>
          <w:rFonts w:ascii="FangSong" w:hAnsi="FangSong" w:eastAsia="FangSong" w:cs="FangSong"/>
          <w:sz w:val="30"/>
          <w:szCs w:val="30"/>
          <w:spacing w:val="25"/>
        </w:rPr>
        <w:t>(以下简称《申请须知》)的规</w:t>
      </w:r>
      <w:r>
        <w:rPr>
          <w:rFonts w:ascii="FangSong" w:hAnsi="FangSong" w:eastAsia="FangSong" w:cs="FangSong"/>
          <w:sz w:val="30"/>
          <w:szCs w:val="30"/>
          <w:spacing w:val="1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5"/>
        </w:rPr>
        <w:t>定，以及山东保护中心关于专利申请及预审的</w:t>
      </w:r>
      <w:r>
        <w:rPr>
          <w:rFonts w:ascii="FangSong" w:hAnsi="FangSong" w:eastAsia="FangSong" w:cs="FangSong"/>
          <w:sz w:val="30"/>
          <w:szCs w:val="30"/>
          <w:spacing w:val="14"/>
        </w:rPr>
        <w:t>政策要求，不存在</w:t>
      </w:r>
    </w:p>
    <w:p>
      <w:pPr>
        <w:spacing w:before="2"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25"/>
        </w:rPr>
        <w:t>本办法“负面行为清单”</w:t>
      </w:r>
      <w:r>
        <w:rPr>
          <w:rFonts w:ascii="FangSong" w:hAnsi="FangSong" w:eastAsia="FangSong" w:cs="FangSong"/>
          <w:sz w:val="30"/>
          <w:szCs w:val="30"/>
          <w:spacing w:val="83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25"/>
        </w:rPr>
        <w:t>(详见附件1)中规定的情形。</w:t>
      </w:r>
    </w:p>
    <w:p>
      <w:pPr>
        <w:ind w:right="13" w:firstLine="674"/>
        <w:spacing w:before="208" w:line="351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b/>
          <w:bCs/>
          <w:spacing w:val="18"/>
        </w:rPr>
        <w:t>第十六条</w:t>
      </w:r>
      <w:r>
        <w:rPr>
          <w:rFonts w:ascii="FangSong" w:hAnsi="FangSong" w:eastAsia="FangSong" w:cs="FangSong"/>
          <w:sz w:val="30"/>
          <w:szCs w:val="30"/>
          <w:spacing w:val="32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8"/>
        </w:rPr>
        <w:t>备案主体及代理机构要保证所提供的材料真实有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6"/>
        </w:rPr>
        <w:t>效，包括但不限于注册备案申请材料、专利预审申请材料、预审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31"/>
        </w:rPr>
        <w:t>文件自检表(详见附件2)、著录项目变更证明材料</w:t>
      </w:r>
      <w:r>
        <w:rPr>
          <w:rFonts w:ascii="FangSong" w:hAnsi="FangSong" w:eastAsia="FangSong" w:cs="FangSong"/>
          <w:sz w:val="30"/>
          <w:szCs w:val="30"/>
          <w:spacing w:val="30"/>
        </w:rPr>
        <w:t>、生产研发</w:t>
      </w:r>
    </w:p>
    <w:p>
      <w:pPr>
        <w:spacing w:before="1"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3"/>
        </w:rPr>
        <w:t>能力及共同研发证明材料等。</w:t>
      </w:r>
    </w:p>
    <w:p>
      <w:pPr>
        <w:ind w:left="674"/>
        <w:spacing w:before="211"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b/>
          <w:bCs/>
          <w:spacing w:val="19"/>
        </w:rPr>
        <w:t>第十七条</w:t>
      </w:r>
      <w:r>
        <w:rPr>
          <w:rFonts w:ascii="FangSong" w:hAnsi="FangSong" w:eastAsia="FangSong" w:cs="FangSong"/>
          <w:sz w:val="30"/>
          <w:szCs w:val="30"/>
          <w:spacing w:val="48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9"/>
        </w:rPr>
        <w:t>备案主体及代理机构应按要求规范各阶段操作流</w:t>
      </w:r>
    </w:p>
    <w:p>
      <w:pPr>
        <w:sectPr>
          <w:footerReference w:type="default" r:id="rId8"/>
          <w:pgSz w:w="11910" w:h="16840"/>
          <w:pgMar w:top="1431" w:right="1467" w:bottom="1170" w:left="1579" w:header="0" w:footer="872" w:gutter="0"/>
        </w:sectPr>
        <w:rPr/>
      </w:pPr>
    </w:p>
    <w:p>
      <w:pPr>
        <w:spacing w:line="315" w:lineRule="auto"/>
        <w:rPr>
          <w:rFonts w:ascii="Arial"/>
          <w:sz w:val="21"/>
        </w:rPr>
      </w:pPr>
      <w:r/>
    </w:p>
    <w:p>
      <w:pPr>
        <w:spacing w:line="315" w:lineRule="auto"/>
        <w:rPr>
          <w:rFonts w:ascii="Arial"/>
          <w:sz w:val="21"/>
        </w:rPr>
      </w:pPr>
      <w:r/>
    </w:p>
    <w:p>
      <w:pPr>
        <w:ind w:left="24"/>
        <w:spacing w:before="101" w:line="577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  <w:position w:val="19"/>
        </w:rPr>
        <w:t>程，包括但不限于及时答复预审意见、按时提交申请号、及时办</w:t>
      </w:r>
    </w:p>
    <w:p>
      <w:pPr>
        <w:ind w:left="24"/>
        <w:spacing w:before="1" w:line="21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理登记手续、主动做好专利权转让报备等。</w:t>
      </w:r>
    </w:p>
    <w:p>
      <w:pPr>
        <w:spacing w:line="340" w:lineRule="auto"/>
        <w:rPr>
          <w:rFonts w:ascii="Arial"/>
          <w:sz w:val="21"/>
        </w:rPr>
      </w:pPr>
      <w:r/>
    </w:p>
    <w:p>
      <w:pPr>
        <w:spacing w:line="340" w:lineRule="auto"/>
        <w:rPr>
          <w:rFonts w:ascii="Arial"/>
          <w:sz w:val="21"/>
        </w:rPr>
      </w:pPr>
      <w:r/>
    </w:p>
    <w:p>
      <w:pPr>
        <w:ind w:left="3179"/>
        <w:spacing w:before="100" w:line="222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6"/>
        </w:rPr>
        <w:t>第四章</w:t>
      </w:r>
      <w:r>
        <w:rPr>
          <w:rFonts w:ascii="SimHei" w:hAnsi="SimHei" w:eastAsia="SimHei" w:cs="SimHei"/>
          <w:sz w:val="31"/>
          <w:szCs w:val="31"/>
          <w:spacing w:val="3"/>
        </w:rPr>
        <w:t xml:space="preserve">  </w:t>
      </w:r>
      <w:r>
        <w:rPr>
          <w:rFonts w:ascii="SimHei" w:hAnsi="SimHei" w:eastAsia="SimHei" w:cs="SimHei"/>
          <w:sz w:val="31"/>
          <w:szCs w:val="31"/>
          <w:b/>
          <w:bCs/>
          <w:spacing w:val="6"/>
        </w:rPr>
        <w:t>信用管理</w:t>
      </w:r>
    </w:p>
    <w:p>
      <w:pPr>
        <w:ind w:left="24" w:right="44" w:firstLine="644"/>
        <w:spacing w:before="186" w:line="340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9"/>
        </w:rPr>
        <w:t>第十八条</w:t>
      </w:r>
      <w:r>
        <w:rPr>
          <w:rFonts w:ascii="FangSong" w:hAnsi="FangSong" w:eastAsia="FangSong" w:cs="FangSong"/>
          <w:sz w:val="31"/>
          <w:szCs w:val="31"/>
          <w:spacing w:val="1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山东保护中心对备案主体及代理机构进行分级管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理，根据年度专利预审申请数量及质量情况、配合审查情况、负</w:t>
      </w:r>
      <w:r>
        <w:rPr>
          <w:rFonts w:ascii="FangSong" w:hAnsi="FangSong" w:eastAsia="FangSong" w:cs="FangSong"/>
          <w:sz w:val="31"/>
          <w:szCs w:val="31"/>
          <w:spacing w:val="1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面行为情况、信用记录情况等进行评分，按照评分由高到低分别</w:t>
      </w:r>
      <w:r>
        <w:rPr>
          <w:rFonts w:ascii="FangSong" w:hAnsi="FangSong" w:eastAsia="FangSong" w:cs="FangSong"/>
          <w:sz w:val="31"/>
          <w:szCs w:val="31"/>
          <w:spacing w:val="1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5"/>
        </w:rPr>
        <w:t>给予红、白、灰、黑标识并予以公示，作为后续采取管理措施的</w:t>
      </w:r>
    </w:p>
    <w:p>
      <w:pPr>
        <w:ind w:left="24"/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依据，管理措施包括但不限于调整专利预审服务受理配额等</w:t>
      </w:r>
      <w:r>
        <w:rPr>
          <w:rFonts w:ascii="FangSong" w:hAnsi="FangSong" w:eastAsia="FangSong" w:cs="FangSong"/>
          <w:sz w:val="31"/>
          <w:szCs w:val="31"/>
          <w:spacing w:val="7"/>
        </w:rPr>
        <w:t>。</w:t>
      </w:r>
    </w:p>
    <w:p>
      <w:pPr>
        <w:ind w:left="24" w:firstLine="644"/>
        <w:spacing w:before="193" w:line="340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9"/>
        </w:rPr>
        <w:t>第十九条</w:t>
      </w:r>
      <w:r>
        <w:rPr>
          <w:rFonts w:ascii="FangSong" w:hAnsi="FangSong" w:eastAsia="FangSong" w:cs="FangSong"/>
          <w:sz w:val="31"/>
          <w:szCs w:val="31"/>
          <w:spacing w:val="1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山东保护中心按照知识产权领域信用体系建设相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关要求，建立与有关部门或单位间的信用信息互通机制，加强</w:t>
      </w:r>
      <w:r>
        <w:rPr>
          <w:rFonts w:ascii="FangSong" w:hAnsi="FangSong" w:eastAsia="FangSong" w:cs="FangSong"/>
          <w:sz w:val="31"/>
          <w:szCs w:val="31"/>
          <w:spacing w:val="3"/>
        </w:rPr>
        <w:t>对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备案主体及代理机构的信用管理，规范专利预审服务相关行为，</w:t>
      </w:r>
    </w:p>
    <w:p>
      <w:pPr>
        <w:ind w:left="24"/>
        <w:spacing w:before="2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建立“负面行为清单”和“黑名单”制度。</w:t>
      </w:r>
    </w:p>
    <w:p>
      <w:pPr>
        <w:ind w:left="24" w:right="14" w:firstLine="644"/>
        <w:spacing w:before="196" w:line="340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10"/>
        </w:rPr>
        <w:t>第二十条</w:t>
      </w:r>
      <w:r>
        <w:rPr>
          <w:rFonts w:ascii="FangSong" w:hAnsi="FangSong" w:eastAsia="FangSong" w:cs="FangSong"/>
          <w:sz w:val="31"/>
          <w:szCs w:val="31"/>
          <w:spacing w:val="3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0"/>
        </w:rPr>
        <w:t>备案主体或代理机构存在“负面行为清单”中的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5"/>
        </w:rPr>
        <w:t>行为，屡次发生或情节严重的，山东保护中心应将其列入“黑名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单”,并将相关事由、证据等呈报有关部门或单位作为认定其失</w:t>
      </w:r>
    </w:p>
    <w:p>
      <w:pPr>
        <w:ind w:left="24"/>
        <w:spacing w:before="2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信行为的依据。</w:t>
      </w:r>
    </w:p>
    <w:p>
      <w:pPr>
        <w:ind w:right="12" w:firstLine="669"/>
        <w:spacing w:before="196" w:line="340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10"/>
        </w:rPr>
        <w:t>第二十一条</w:t>
      </w:r>
      <w:r>
        <w:rPr>
          <w:rFonts w:ascii="FangSong" w:hAnsi="FangSong" w:eastAsia="FangSong" w:cs="FangSong"/>
          <w:sz w:val="31"/>
          <w:szCs w:val="31"/>
          <w:spacing w:val="2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0"/>
        </w:rPr>
        <w:t>备案主体或代理机构存在有关部门或单位认定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的严重失信行为或知识产权领域失信行为的，</w:t>
      </w:r>
      <w:r>
        <w:rPr>
          <w:rFonts w:ascii="FangSong" w:hAnsi="FangSong" w:eastAsia="FangSong" w:cs="FangSong"/>
          <w:sz w:val="31"/>
          <w:szCs w:val="31"/>
          <w:spacing w:val="5"/>
        </w:rPr>
        <w:t>视同上述行为属于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“负面行为清单”中的负面行为，屡次发生或情节严重的，山东</w:t>
      </w:r>
    </w:p>
    <w:p>
      <w:pPr>
        <w:ind w:left="24"/>
        <w:spacing w:before="2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保护中心应将其列入“黑名单”。</w:t>
      </w:r>
    </w:p>
    <w:p>
      <w:pPr>
        <w:ind w:left="669"/>
        <w:spacing w:before="197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11"/>
        </w:rPr>
        <w:t>第二十二条</w:t>
      </w:r>
      <w:r>
        <w:rPr>
          <w:rFonts w:ascii="FangSong" w:hAnsi="FangSong" w:eastAsia="FangSong" w:cs="FangSong"/>
          <w:sz w:val="31"/>
          <w:szCs w:val="31"/>
          <w:spacing w:val="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1"/>
        </w:rPr>
        <w:t>根据本办法第十八条的规定，标识为</w:t>
      </w:r>
      <w:r>
        <w:rPr>
          <w:rFonts w:ascii="FangSong" w:hAnsi="FangSong" w:eastAsia="FangSong" w:cs="FangSong"/>
          <w:sz w:val="31"/>
          <w:szCs w:val="31"/>
          <w:spacing w:val="10"/>
        </w:rPr>
        <w:t>黑的备案</w:t>
      </w:r>
    </w:p>
    <w:p>
      <w:pPr>
        <w:sectPr>
          <w:footerReference w:type="default" r:id="rId9"/>
          <w:pgSz w:w="11910" w:h="16840"/>
          <w:pgMar w:top="1431" w:right="1444" w:bottom="1147" w:left="1575" w:header="0" w:footer="881" w:gutter="0"/>
        </w:sectPr>
        <w:rPr/>
      </w:pPr>
    </w:p>
    <w:p>
      <w:pPr>
        <w:spacing w:line="330" w:lineRule="auto"/>
        <w:rPr>
          <w:rFonts w:ascii="Arial"/>
          <w:sz w:val="21"/>
        </w:rPr>
      </w:pPr>
      <w:r/>
    </w:p>
    <w:p>
      <w:pPr>
        <w:spacing w:line="331" w:lineRule="auto"/>
        <w:rPr>
          <w:rFonts w:ascii="Arial"/>
          <w:sz w:val="21"/>
        </w:rPr>
      </w:pPr>
      <w:r/>
    </w:p>
    <w:p>
      <w:pPr>
        <w:ind w:left="54"/>
        <w:spacing w:before="10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主体或代理机构，山东保护中心应将其列入“黑名单”。</w:t>
      </w:r>
    </w:p>
    <w:p>
      <w:pPr>
        <w:ind w:left="709"/>
        <w:spacing w:before="187" w:line="572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10"/>
          <w:position w:val="19"/>
        </w:rPr>
        <w:t>第二十三条</w:t>
      </w:r>
      <w:r>
        <w:rPr>
          <w:rFonts w:ascii="FangSong" w:hAnsi="FangSong" w:eastAsia="FangSong" w:cs="FangSong"/>
          <w:sz w:val="31"/>
          <w:szCs w:val="31"/>
          <w:spacing w:val="-14"/>
          <w:position w:val="1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0"/>
          <w:position w:val="19"/>
        </w:rPr>
        <w:t>山东保护中心根据实际工作需要，不定期调</w:t>
      </w:r>
      <w:r>
        <w:rPr>
          <w:rFonts w:ascii="FangSong" w:hAnsi="FangSong" w:eastAsia="FangSong" w:cs="FangSong"/>
          <w:sz w:val="31"/>
          <w:szCs w:val="31"/>
          <w:spacing w:val="9"/>
          <w:position w:val="19"/>
        </w:rPr>
        <w:t>整</w:t>
      </w:r>
    </w:p>
    <w:p>
      <w:pPr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9"/>
        </w:rPr>
        <w:t>“负面行为清单”,公示后生效。</w:t>
      </w:r>
    </w:p>
    <w:p>
      <w:pPr>
        <w:ind w:left="54" w:firstLine="654"/>
        <w:spacing w:before="196" w:line="34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-1"/>
        </w:rPr>
        <w:t>第二十四条</w:t>
      </w:r>
      <w:r>
        <w:rPr>
          <w:rFonts w:ascii="FangSong" w:hAnsi="FangSong" w:eastAsia="FangSong" w:cs="FangSong"/>
          <w:sz w:val="31"/>
          <w:szCs w:val="31"/>
          <w:spacing w:val="6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"/>
        </w:rPr>
        <w:t>“黑名单”列入期限自书面告知之日起一年</w:t>
      </w:r>
      <w:r>
        <w:rPr>
          <w:rFonts w:ascii="FangSong" w:hAnsi="FangSong" w:eastAsia="FangSong" w:cs="FangSong"/>
          <w:sz w:val="31"/>
          <w:szCs w:val="31"/>
          <w:spacing w:val="-2"/>
        </w:rPr>
        <w:t>内，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5"/>
        </w:rPr>
        <w:t>暂停专利预审服务。期满后，已经履行了相关义务，列入“黑名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0"/>
        </w:rPr>
        <w:t>单"事由已消除且重新提出书面申请的备案主体或代理机构，经</w:t>
      </w:r>
    </w:p>
    <w:p>
      <w:pPr>
        <w:ind w:left="54"/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山东保护中心审核通过后可移出“黑名单”。</w:t>
      </w:r>
    </w:p>
    <w:p>
      <w:pPr>
        <w:ind w:left="54" w:right="89" w:firstLine="654"/>
        <w:spacing w:before="196" w:line="34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10"/>
        </w:rPr>
        <w:t>第二十五条</w:t>
      </w:r>
      <w:r>
        <w:rPr>
          <w:rFonts w:ascii="FangSong" w:hAnsi="FangSong" w:eastAsia="FangSong" w:cs="FangSong"/>
          <w:sz w:val="31"/>
          <w:szCs w:val="31"/>
          <w:spacing w:val="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0"/>
        </w:rPr>
        <w:t>备案主体或代理机构被认定存在负面行为或列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5"/>
        </w:rPr>
        <w:t>入“黑名单”的，山东保护中心应书面告知其</w:t>
      </w:r>
      <w:r>
        <w:rPr>
          <w:rFonts w:ascii="FangSong" w:hAnsi="FangSong" w:eastAsia="FangSong" w:cs="FangSong"/>
          <w:sz w:val="31"/>
          <w:szCs w:val="31"/>
          <w:spacing w:val="4"/>
        </w:rPr>
        <w:t>相关事实、依据及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5"/>
        </w:rPr>
        <w:t>惩戒措施。备案主体或代理机构不服的，可在收到通知之日起七</w:t>
      </w:r>
    </w:p>
    <w:p>
      <w:pPr>
        <w:ind w:left="54"/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日内向山东保护中心提出申诉。</w:t>
      </w:r>
    </w:p>
    <w:p>
      <w:pPr>
        <w:spacing w:line="351" w:lineRule="auto"/>
        <w:rPr>
          <w:rFonts w:ascii="Arial"/>
          <w:sz w:val="21"/>
        </w:rPr>
      </w:pPr>
      <w:r/>
    </w:p>
    <w:p>
      <w:pPr>
        <w:spacing w:line="351" w:lineRule="auto"/>
        <w:rPr>
          <w:rFonts w:ascii="Arial"/>
          <w:sz w:val="21"/>
        </w:rPr>
      </w:pPr>
      <w:r/>
    </w:p>
    <w:p>
      <w:pPr>
        <w:ind w:left="3219"/>
        <w:spacing w:before="101" w:line="222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6"/>
        </w:rPr>
        <w:t>第五章</w:t>
      </w:r>
      <w:r>
        <w:rPr>
          <w:rFonts w:ascii="SimHei" w:hAnsi="SimHei" w:eastAsia="SimHei" w:cs="SimHei"/>
          <w:sz w:val="31"/>
          <w:szCs w:val="31"/>
          <w:spacing w:val="4"/>
        </w:rPr>
        <w:t xml:space="preserve">  </w:t>
      </w:r>
      <w:r>
        <w:rPr>
          <w:rFonts w:ascii="SimHei" w:hAnsi="SimHei" w:eastAsia="SimHei" w:cs="SimHei"/>
          <w:sz w:val="31"/>
          <w:szCs w:val="31"/>
          <w:b/>
          <w:bCs/>
          <w:spacing w:val="6"/>
        </w:rPr>
        <w:t>惩戒措施</w:t>
      </w:r>
    </w:p>
    <w:p>
      <w:pPr>
        <w:ind w:left="54" w:right="102" w:firstLine="654"/>
        <w:spacing w:before="196" w:line="34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10"/>
        </w:rPr>
        <w:t>第二十六条</w:t>
      </w:r>
      <w:r>
        <w:rPr>
          <w:rFonts w:ascii="FangSong" w:hAnsi="FangSong" w:eastAsia="FangSong" w:cs="FangSong"/>
          <w:sz w:val="31"/>
          <w:szCs w:val="31"/>
          <w:spacing w:val="-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0"/>
        </w:rPr>
        <w:t>对违反各级知识产权行政管理部门、山东保护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中心关于专利申请及预审服务相关规定或要求，</w:t>
      </w:r>
      <w:r>
        <w:rPr>
          <w:rFonts w:ascii="FangSong" w:hAnsi="FangSong" w:eastAsia="FangSong" w:cs="FangSong"/>
          <w:sz w:val="31"/>
          <w:szCs w:val="31"/>
          <w:spacing w:val="3"/>
        </w:rPr>
        <w:t>存在“负面行为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清单”所列负面行为的备案主体或代理机构，给予相应的惩戒措</w:t>
      </w:r>
    </w:p>
    <w:p>
      <w:pPr>
        <w:ind w:left="54"/>
        <w:spacing w:before="2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施，包括警告、暂停服务、列入“黑名单”。</w:t>
      </w:r>
    </w:p>
    <w:p>
      <w:pPr>
        <w:ind w:left="709"/>
        <w:spacing w:before="196" w:line="573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9"/>
          <w:position w:val="19"/>
        </w:rPr>
        <w:t>第二十七条</w:t>
      </w:r>
      <w:r>
        <w:rPr>
          <w:rFonts w:ascii="FangSong" w:hAnsi="FangSong" w:eastAsia="FangSong" w:cs="FangSong"/>
          <w:sz w:val="31"/>
          <w:szCs w:val="31"/>
          <w:spacing w:val="28"/>
          <w:position w:val="1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  <w:position w:val="19"/>
        </w:rPr>
        <w:t>备案主体或代理机构存在“负面行为清单”所</w:t>
      </w:r>
    </w:p>
    <w:p>
      <w:pPr>
        <w:ind w:left="54"/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列第一类负面行为之一的，予以警告。</w:t>
      </w:r>
    </w:p>
    <w:p>
      <w:pPr>
        <w:ind w:left="54" w:right="106" w:firstLine="654"/>
        <w:spacing w:before="197" w:line="34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9"/>
        </w:rPr>
        <w:t>第二十八条</w:t>
      </w:r>
      <w:r>
        <w:rPr>
          <w:rFonts w:ascii="FangSong" w:hAnsi="FangSong" w:eastAsia="FangSong" w:cs="FangSong"/>
          <w:sz w:val="31"/>
          <w:szCs w:val="31"/>
          <w:spacing w:val="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备案主体或代理机构受到三次及以上警告或存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5"/>
        </w:rPr>
        <w:t>在“负面行为清单”所列第二类负面行为之一的，山东保</w:t>
      </w:r>
      <w:r>
        <w:rPr>
          <w:rFonts w:ascii="FangSong" w:hAnsi="FangSong" w:eastAsia="FangSong" w:cs="FangSong"/>
          <w:sz w:val="31"/>
          <w:szCs w:val="31"/>
          <w:spacing w:val="4"/>
        </w:rPr>
        <w:t>护中心</w:t>
      </w:r>
    </w:p>
    <w:p>
      <w:pPr>
        <w:ind w:left="54"/>
        <w:spacing w:before="2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将对其暂停专利预审服务半年以上。</w:t>
      </w:r>
    </w:p>
    <w:p>
      <w:pPr>
        <w:sectPr>
          <w:footerReference w:type="default" r:id="rId10"/>
          <w:pgSz w:w="11910" w:h="16840"/>
          <w:pgMar w:top="1431" w:right="1395" w:bottom="1157" w:left="1535" w:header="0" w:footer="849" w:gutter="0"/>
        </w:sectPr>
        <w:rPr/>
      </w:pPr>
    </w:p>
    <w:p>
      <w:pPr>
        <w:spacing w:line="306" w:lineRule="auto"/>
        <w:rPr>
          <w:rFonts w:ascii="Arial"/>
          <w:sz w:val="21"/>
        </w:rPr>
      </w:pPr>
      <w:r/>
    </w:p>
    <w:p>
      <w:pPr>
        <w:spacing w:line="306" w:lineRule="auto"/>
        <w:rPr>
          <w:rFonts w:ascii="Arial"/>
          <w:sz w:val="21"/>
        </w:rPr>
      </w:pPr>
      <w:r/>
    </w:p>
    <w:p>
      <w:pPr>
        <w:ind w:right="179" w:firstLine="664"/>
        <w:spacing w:before="98" w:line="351" w:lineRule="auto"/>
        <w:jc w:val="both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b/>
          <w:bCs/>
          <w:spacing w:val="18"/>
        </w:rPr>
        <w:t>第二十九条</w:t>
      </w:r>
      <w:r>
        <w:rPr>
          <w:rFonts w:ascii="FangSong" w:hAnsi="FangSong" w:eastAsia="FangSong" w:cs="FangSong"/>
          <w:sz w:val="30"/>
          <w:szCs w:val="30"/>
          <w:spacing w:val="18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8"/>
        </w:rPr>
        <w:t>备案主体或代理机构存在“负面行为清单”所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4"/>
        </w:rPr>
        <w:t>列第三类负面行为之一的，山东保护中心将对其停止专利预审服</w:t>
      </w:r>
    </w:p>
    <w:p>
      <w:pPr>
        <w:spacing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20"/>
        </w:rPr>
        <w:t>务，并列入“黑名单”。</w:t>
      </w:r>
    </w:p>
    <w:p>
      <w:pPr>
        <w:ind w:right="157" w:firstLine="664"/>
        <w:spacing w:before="211" w:line="351" w:lineRule="auto"/>
        <w:jc w:val="both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b/>
          <w:bCs/>
          <w:spacing w:val="18"/>
        </w:rPr>
        <w:t>第三十条</w:t>
      </w:r>
      <w:r>
        <w:rPr>
          <w:rFonts w:ascii="FangSong" w:hAnsi="FangSong" w:eastAsia="FangSong" w:cs="FangSong"/>
          <w:sz w:val="30"/>
          <w:szCs w:val="30"/>
          <w:spacing w:val="44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8"/>
        </w:rPr>
        <w:t>备案主体或代理机构因本办法第二十八条规定被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4"/>
        </w:rPr>
        <w:t>暂停专利预审服务，期满后仍存在“负面行为清单”所列负面行</w:t>
      </w:r>
    </w:p>
    <w:p>
      <w:pPr>
        <w:spacing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1"/>
        </w:rPr>
        <w:t>为的，山东保护中心将对其停止专利预审服务，并列入“黑名单”。</w:t>
      </w: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ind w:left="3494"/>
        <w:spacing w:before="97" w:line="222" w:lineRule="auto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  <w:b/>
          <w:bCs/>
          <w:spacing w:val="11"/>
        </w:rPr>
        <w:t>第六章</w:t>
      </w:r>
      <w:r>
        <w:rPr>
          <w:rFonts w:ascii="SimHei" w:hAnsi="SimHei" w:eastAsia="SimHei" w:cs="SimHei"/>
          <w:sz w:val="30"/>
          <w:szCs w:val="30"/>
          <w:spacing w:val="149"/>
        </w:rPr>
        <w:t xml:space="preserve"> </w:t>
      </w:r>
      <w:r>
        <w:rPr>
          <w:rFonts w:ascii="SimHei" w:hAnsi="SimHei" w:eastAsia="SimHei" w:cs="SimHei"/>
          <w:sz w:val="30"/>
          <w:szCs w:val="30"/>
          <w:b/>
          <w:bCs/>
          <w:spacing w:val="11"/>
        </w:rPr>
        <w:t>附则</w:t>
      </w:r>
    </w:p>
    <w:p>
      <w:pPr>
        <w:ind w:left="664"/>
        <w:spacing w:before="208" w:line="566" w:lineRule="exac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b/>
          <w:bCs/>
          <w:spacing w:val="18"/>
          <w:position w:val="19"/>
        </w:rPr>
        <w:t>第三十一条</w:t>
      </w:r>
      <w:r>
        <w:rPr>
          <w:rFonts w:ascii="FangSong" w:hAnsi="FangSong" w:eastAsia="FangSong" w:cs="FangSong"/>
          <w:sz w:val="30"/>
          <w:szCs w:val="30"/>
          <w:spacing w:val="22"/>
          <w:position w:val="19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8"/>
          <w:position w:val="19"/>
        </w:rPr>
        <w:t>本办法由山东省国家知识产权保护中心负责解</w:t>
      </w:r>
    </w:p>
    <w:p>
      <w:pPr>
        <w:spacing w:line="223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6"/>
        </w:rPr>
        <w:t>释。</w:t>
      </w:r>
    </w:p>
    <w:p>
      <w:pPr>
        <w:ind w:left="664"/>
        <w:spacing w:before="192" w:line="221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b/>
          <w:bCs/>
          <w:spacing w:val="16"/>
        </w:rPr>
        <w:t>第三十二条</w:t>
      </w:r>
      <w:r>
        <w:rPr>
          <w:rFonts w:ascii="FangSong" w:hAnsi="FangSong" w:eastAsia="FangSong" w:cs="FangSong"/>
          <w:sz w:val="30"/>
          <w:szCs w:val="30"/>
          <w:spacing w:val="6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6"/>
        </w:rPr>
        <w:t>本办法自印发之日起施行。</w:t>
      </w: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ind w:right="188"/>
        <w:spacing w:before="46" w:line="104" w:lineRule="exact"/>
        <w:jc w:val="right"/>
        <w:rPr>
          <w:rFonts w:ascii="Times New Roman" w:hAnsi="Times New Roman" w:eastAsia="Times New Roman" w:cs="Times New Roman"/>
          <w:sz w:val="14"/>
          <w:szCs w:val="14"/>
        </w:rPr>
      </w:pPr>
      <w:r>
        <w:rPr>
          <w:rFonts w:ascii="SimHei" w:hAnsi="SimHei" w:eastAsia="SimHei" w:cs="SimHei"/>
          <w:sz w:val="14"/>
          <w:szCs w:val="14"/>
          <w:spacing w:val="-1"/>
          <w:position w:val="1"/>
        </w:rPr>
        <w:t>—</w:t>
      </w:r>
      <w:r>
        <w:rPr>
          <w:rFonts w:ascii="SimHei" w:hAnsi="SimHei" w:eastAsia="SimHei" w:cs="SimHei"/>
          <w:sz w:val="14"/>
          <w:szCs w:val="14"/>
          <w:spacing w:val="10"/>
          <w:position w:val="1"/>
        </w:rPr>
        <w:t xml:space="preserve">   </w:t>
      </w:r>
      <w:r>
        <w:rPr>
          <w:rFonts w:ascii="Times New Roman" w:hAnsi="Times New Roman" w:eastAsia="Times New Roman" w:cs="Times New Roman"/>
          <w:sz w:val="14"/>
          <w:szCs w:val="14"/>
          <w:spacing w:val="-1"/>
          <w:position w:val="1"/>
        </w:rPr>
        <w:t>y</w:t>
      </w:r>
      <w:r>
        <w:rPr>
          <w:rFonts w:ascii="Times New Roman" w:hAnsi="Times New Roman" w:eastAsia="Times New Roman" w:cs="Times New Roman"/>
          <w:sz w:val="14"/>
          <w:szCs w:val="14"/>
          <w:position w:val="1"/>
        </w:rPr>
        <w:t xml:space="preserve">           </w:t>
      </w:r>
      <w:r>
        <w:rPr>
          <w:rFonts w:ascii="Times New Roman" w:hAnsi="Times New Roman" w:eastAsia="Times New Roman" w:cs="Times New Roman"/>
          <w:sz w:val="14"/>
          <w:szCs w:val="14"/>
          <w:spacing w:val="-1"/>
          <w:position w:val="1"/>
        </w:rPr>
        <w:t>-</w:t>
      </w:r>
    </w:p>
    <w:p>
      <w:pPr>
        <w:sectPr>
          <w:footerReference w:type="default" r:id="rId11"/>
          <w:pgSz w:w="11910" w:h="16840"/>
          <w:pgMar w:top="1431" w:right="1320" w:bottom="400" w:left="1609" w:header="0" w:footer="0" w:gutter="0"/>
        </w:sectPr>
        <w:rPr/>
      </w:pPr>
    </w:p>
    <w:p>
      <w:pPr>
        <w:spacing w:line="326" w:lineRule="auto"/>
        <w:rPr>
          <w:rFonts w:ascii="Arial"/>
          <w:sz w:val="21"/>
        </w:rPr>
      </w:pPr>
      <w:r/>
    </w:p>
    <w:p>
      <w:pPr>
        <w:spacing w:line="327" w:lineRule="auto"/>
        <w:rPr>
          <w:rFonts w:ascii="Arial"/>
          <w:sz w:val="21"/>
        </w:rPr>
      </w:pPr>
      <w:r/>
    </w:p>
    <w:p>
      <w:pPr>
        <w:ind w:left="4"/>
        <w:spacing w:before="104" w:line="224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28"/>
        </w:rPr>
        <w:t>附件1</w:t>
      </w:r>
    </w:p>
    <w:p>
      <w:pPr>
        <w:ind w:left="1136"/>
        <w:spacing w:before="107" w:line="219" w:lineRule="auto"/>
        <w:rPr>
          <w:rFonts w:ascii="SimSun" w:hAnsi="SimSun" w:eastAsia="SimSun" w:cs="SimSun"/>
          <w:sz w:val="44"/>
          <w:szCs w:val="44"/>
        </w:rPr>
      </w:pPr>
      <w:r>
        <w:rPr>
          <w:rFonts w:ascii="SimSun" w:hAnsi="SimSun" w:eastAsia="SimSun" w:cs="SimSun"/>
          <w:sz w:val="44"/>
          <w:szCs w:val="44"/>
          <w:b/>
          <w:bCs/>
          <w:spacing w:val="-7"/>
        </w:rPr>
        <w:t>备案主体及代理机构负面行为清单</w:t>
      </w:r>
    </w:p>
    <w:p>
      <w:pPr>
        <w:spacing w:line="303" w:lineRule="auto"/>
        <w:rPr>
          <w:rFonts w:ascii="Arial"/>
          <w:sz w:val="21"/>
        </w:rPr>
      </w:pPr>
      <w:r/>
    </w:p>
    <w:p>
      <w:pPr>
        <w:spacing w:line="303" w:lineRule="auto"/>
        <w:rPr>
          <w:rFonts w:ascii="Arial"/>
          <w:sz w:val="21"/>
        </w:rPr>
      </w:pPr>
      <w:r/>
    </w:p>
    <w:p>
      <w:pPr>
        <w:ind w:left="634"/>
        <w:spacing w:before="104" w:line="221" w:lineRule="auto"/>
        <w:outlineLvl w:val="0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-4"/>
        </w:rPr>
        <w:t>一、第一类负面行为</w:t>
      </w:r>
    </w:p>
    <w:p>
      <w:pPr>
        <w:ind w:left="799"/>
        <w:spacing w:before="178" w:line="580" w:lineRule="exac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"/>
          <w:position w:val="19"/>
        </w:rPr>
        <w:t>(一)备案主体与非备案主体共同申请，但无法提供有效的</w:t>
      </w:r>
    </w:p>
    <w:p>
      <w:pPr>
        <w:spacing w:line="22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10"/>
        </w:rPr>
        <w:t>共同研发证明材料的；</w:t>
      </w:r>
    </w:p>
    <w:p>
      <w:pPr>
        <w:ind w:left="799"/>
        <w:spacing w:before="189" w:line="22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4"/>
        </w:rPr>
        <w:t>(二)代理机构为非备案主体提交专利预审申</w:t>
      </w:r>
      <w:r>
        <w:rPr>
          <w:rFonts w:ascii="FangSong" w:hAnsi="FangSong" w:eastAsia="FangSong" w:cs="FangSong"/>
          <w:sz w:val="32"/>
          <w:szCs w:val="32"/>
          <w:spacing w:val="3"/>
        </w:rPr>
        <w:t>请的；</w:t>
      </w:r>
    </w:p>
    <w:p>
      <w:pPr>
        <w:ind w:left="799"/>
        <w:spacing w:before="188" w:line="574" w:lineRule="exac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3"/>
          <w:position w:val="18"/>
        </w:rPr>
        <w:t>(三)备案主体直接提交委托了代理机构的专利预审申请</w:t>
      </w:r>
    </w:p>
    <w:p>
      <w:pPr>
        <w:spacing w:line="222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23"/>
        </w:rPr>
        <w:t>的；</w:t>
      </w:r>
    </w:p>
    <w:p>
      <w:pPr>
        <w:ind w:left="799"/>
        <w:spacing w:before="184" w:line="567" w:lineRule="exac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"/>
          <w:position w:val="18"/>
        </w:rPr>
        <w:t>(四)预审阶段无正当理由变更发明人，且不</w:t>
      </w:r>
      <w:r>
        <w:rPr>
          <w:rFonts w:ascii="FangSong" w:hAnsi="FangSong" w:eastAsia="FangSong" w:cs="FangSong"/>
          <w:sz w:val="32"/>
          <w:szCs w:val="32"/>
          <w:position w:val="18"/>
        </w:rPr>
        <w:t>能提供有效证</w:t>
      </w:r>
    </w:p>
    <w:p>
      <w:pPr>
        <w:spacing w:before="1" w:line="22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13"/>
        </w:rPr>
        <w:t>明材料的；</w:t>
      </w:r>
    </w:p>
    <w:p>
      <w:pPr>
        <w:ind w:left="799"/>
        <w:spacing w:before="188" w:line="570" w:lineRule="exac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"/>
          <w:position w:val="18"/>
        </w:rPr>
        <w:t>(五)提交的专利预审申请明显与备案主体实际生产、</w:t>
      </w:r>
      <w:r>
        <w:rPr>
          <w:rFonts w:ascii="FangSong" w:hAnsi="FangSong" w:eastAsia="FangSong" w:cs="FangSong"/>
          <w:sz w:val="32"/>
          <w:szCs w:val="32"/>
          <w:position w:val="18"/>
        </w:rPr>
        <w:t>研发</w:t>
      </w:r>
    </w:p>
    <w:p>
      <w:pPr>
        <w:spacing w:line="22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5"/>
        </w:rPr>
        <w:t>或经营能力不符，且不能提供证明材料的；</w:t>
      </w:r>
    </w:p>
    <w:p>
      <w:pPr>
        <w:ind w:left="799"/>
        <w:spacing w:before="189" w:line="22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4"/>
        </w:rPr>
        <w:t>(六)短时间内集中提交数量过大专利预审申</w:t>
      </w:r>
      <w:r>
        <w:rPr>
          <w:rFonts w:ascii="FangSong" w:hAnsi="FangSong" w:eastAsia="FangSong" w:cs="FangSong"/>
          <w:sz w:val="32"/>
          <w:szCs w:val="32"/>
          <w:spacing w:val="3"/>
        </w:rPr>
        <w:t>请的；</w:t>
      </w:r>
    </w:p>
    <w:p>
      <w:pPr>
        <w:ind w:left="799"/>
        <w:spacing w:before="188" w:line="569" w:lineRule="exac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"/>
          <w:position w:val="18"/>
        </w:rPr>
        <w:t>(七)代理机构为不同备案主体提交的专利预</w:t>
      </w:r>
      <w:r>
        <w:rPr>
          <w:rFonts w:ascii="FangSong" w:hAnsi="FangSong" w:eastAsia="FangSong" w:cs="FangSong"/>
          <w:sz w:val="32"/>
          <w:szCs w:val="32"/>
          <w:position w:val="18"/>
        </w:rPr>
        <w:t>审申请技术方</w:t>
      </w:r>
    </w:p>
    <w:p>
      <w:pPr>
        <w:spacing w:before="1" w:line="219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7"/>
        </w:rPr>
        <w:t>案明显存在交叠的；</w:t>
      </w:r>
    </w:p>
    <w:p>
      <w:pPr>
        <w:ind w:left="799"/>
        <w:spacing w:before="192" w:line="569" w:lineRule="exac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3"/>
          <w:position w:val="18"/>
        </w:rPr>
        <w:t>(八)多次(三次及以上)提交明显不属于山东保护中心服</w:t>
      </w:r>
    </w:p>
    <w:p>
      <w:pPr>
        <w:spacing w:line="22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7"/>
        </w:rPr>
        <w:t>务的产业领域的专利预审申请的；</w:t>
      </w:r>
    </w:p>
    <w:p>
      <w:pPr>
        <w:ind w:left="799"/>
        <w:spacing w:before="188" w:line="570" w:lineRule="exac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8"/>
          <w:position w:val="18"/>
        </w:rPr>
        <w:t>(九)多次提交非</w:t>
      </w:r>
      <w:r>
        <w:rPr>
          <w:rFonts w:ascii="FangSong" w:hAnsi="FangSong" w:eastAsia="FangSong" w:cs="FangSong"/>
          <w:sz w:val="32"/>
          <w:szCs w:val="32"/>
          <w:position w:val="18"/>
        </w:rPr>
        <w:t>XML</w:t>
      </w:r>
      <w:r>
        <w:rPr>
          <w:rFonts w:ascii="FangSong" w:hAnsi="FangSong" w:eastAsia="FangSong" w:cs="FangSong"/>
          <w:sz w:val="32"/>
          <w:szCs w:val="32"/>
          <w:spacing w:val="10"/>
          <w:position w:val="18"/>
        </w:rPr>
        <w:t xml:space="preserve">  </w:t>
      </w:r>
      <w:r>
        <w:rPr>
          <w:rFonts w:ascii="FangSong" w:hAnsi="FangSong" w:eastAsia="FangSong" w:cs="FangSong"/>
          <w:sz w:val="32"/>
          <w:szCs w:val="32"/>
          <w:spacing w:val="8"/>
          <w:position w:val="18"/>
        </w:rPr>
        <w:t>格式的专利预审申请文件或案卷包</w:t>
      </w:r>
    </w:p>
    <w:p>
      <w:pPr>
        <w:spacing w:before="1" w:line="22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6"/>
        </w:rPr>
        <w:t>不完整从而影响预审工作正常进行的；</w:t>
      </w:r>
    </w:p>
    <w:p>
      <w:pPr>
        <w:ind w:left="799"/>
        <w:spacing w:before="192" w:line="566" w:lineRule="exac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position w:val="17"/>
        </w:rPr>
        <w:t>(十)多次提交撰写质量不高、形式问题过多的专利预审申</w:t>
      </w:r>
    </w:p>
    <w:p>
      <w:pPr>
        <w:spacing w:line="22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6"/>
        </w:rPr>
        <w:t>请，且经过两次修改仍不符合要求的；</w:t>
      </w:r>
    </w:p>
    <w:p>
      <w:pPr>
        <w:sectPr>
          <w:footerReference w:type="default" r:id="rId12"/>
          <w:pgSz w:w="11910" w:h="16840"/>
          <w:pgMar w:top="1431" w:right="1484" w:bottom="1134" w:left="1579" w:header="0" w:footer="845" w:gutter="0"/>
        </w:sectPr>
        <w:rPr/>
      </w:pPr>
    </w:p>
    <w:p>
      <w:pPr>
        <w:spacing w:line="319" w:lineRule="auto"/>
        <w:rPr>
          <w:rFonts w:ascii="Arial"/>
          <w:sz w:val="21"/>
        </w:rPr>
      </w:pPr>
      <w:r/>
    </w:p>
    <w:p>
      <w:pPr>
        <w:spacing w:line="320" w:lineRule="auto"/>
        <w:rPr>
          <w:rFonts w:ascii="Arial"/>
          <w:sz w:val="21"/>
        </w:rPr>
      </w:pPr>
      <w:r/>
    </w:p>
    <w:p>
      <w:pPr>
        <w:ind w:left="820"/>
        <w:spacing w:before="101" w:line="21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2"/>
        </w:rPr>
        <w:t>(十一)多次提交存在意识形态问题的专利预审申请的；</w:t>
      </w:r>
    </w:p>
    <w:p>
      <w:pPr>
        <w:ind w:left="820"/>
        <w:spacing w:before="201" w:line="572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2"/>
          <w:position w:val="19"/>
        </w:rPr>
        <w:t>(十二)提交的专利预审申请质量不高，存在以下情形之</w:t>
      </w:r>
      <w:r>
        <w:rPr>
          <w:rFonts w:ascii="FangSong" w:hAnsi="FangSong" w:eastAsia="FangSong" w:cs="FangSong"/>
          <w:sz w:val="31"/>
          <w:szCs w:val="31"/>
          <w:spacing w:val="11"/>
          <w:position w:val="19"/>
        </w:rPr>
        <w:t>一</w:t>
      </w:r>
    </w:p>
    <w:p>
      <w:pPr>
        <w:spacing w:before="1" w:line="22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7"/>
        </w:rPr>
        <w:t>的：</w:t>
      </w:r>
    </w:p>
    <w:p>
      <w:pPr>
        <w:ind w:left="630"/>
        <w:spacing w:before="178" w:line="574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  <w:position w:val="19"/>
        </w:rPr>
        <w:t>1.技术方案明显落后、可靠性不足，不具备</w:t>
      </w:r>
      <w:r>
        <w:rPr>
          <w:rFonts w:ascii="FangSong" w:hAnsi="FangSong" w:eastAsia="FangSong" w:cs="FangSong"/>
          <w:sz w:val="31"/>
          <w:szCs w:val="31"/>
          <w:spacing w:val="3"/>
          <w:position w:val="19"/>
        </w:rPr>
        <w:t>实际应用合理性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7"/>
        </w:rPr>
        <w:t>的；</w:t>
      </w:r>
    </w:p>
    <w:p>
      <w:pPr>
        <w:ind w:left="630"/>
        <w:spacing w:before="194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2.使用复杂、昂贵技术方案解决简单技术问题的；</w:t>
      </w:r>
    </w:p>
    <w:p>
      <w:pPr>
        <w:ind w:left="630"/>
        <w:spacing w:before="201" w:line="568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7"/>
          <w:position w:val="18"/>
        </w:rPr>
        <w:t>3.权利要求的所有技术方案明显属于现有技术或现有技术</w:t>
      </w:r>
    </w:p>
    <w:p>
      <w:pPr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的简单组合、改变的；</w:t>
      </w:r>
    </w:p>
    <w:p>
      <w:pPr>
        <w:ind w:left="630"/>
        <w:spacing w:before="197" w:line="575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  <w:position w:val="19"/>
        </w:rPr>
        <w:t>4.所要解决的技术问题含糊不清或技术问题不合理、不存在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7"/>
        </w:rPr>
        <w:t>的；</w:t>
      </w:r>
    </w:p>
    <w:p>
      <w:pPr>
        <w:ind w:left="630"/>
        <w:spacing w:before="192" w:line="575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  <w:position w:val="19"/>
        </w:rPr>
        <w:t>5.技术问题、技术手段与技术效果之间明显存在逻辑上的不</w:t>
      </w:r>
    </w:p>
    <w:p>
      <w:pPr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5"/>
        </w:rPr>
        <w:t>对应的；</w:t>
      </w:r>
    </w:p>
    <w:p>
      <w:pPr>
        <w:ind w:left="630"/>
        <w:spacing w:before="193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6.技术方案仅为功能性描述或仅仅是设想的；</w:t>
      </w:r>
    </w:p>
    <w:p>
      <w:pPr>
        <w:ind w:left="630"/>
        <w:spacing w:before="204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7.技术方案含混不清致使无法理解的；</w:t>
      </w:r>
    </w:p>
    <w:p>
      <w:pPr>
        <w:ind w:left="630"/>
        <w:spacing w:before="193" w:line="570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7"/>
          <w:position w:val="19"/>
        </w:rPr>
        <w:t>8.两件及以上专利预审申请之间仅涉及技术特征的简单替</w:t>
      </w:r>
    </w:p>
    <w:p>
      <w:pPr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换，未解决实质性技术问题，涉嫌拼凑数量的；</w:t>
      </w:r>
    </w:p>
    <w:p>
      <w:pPr>
        <w:ind w:left="630"/>
        <w:spacing w:before="200" w:line="574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  <w:position w:val="19"/>
        </w:rPr>
        <w:t>9.属于《关于规范申请专利行为的办法》第二条所规定的任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3"/>
        </w:rPr>
        <w:t>一情形的；</w:t>
      </w:r>
    </w:p>
    <w:p>
      <w:pPr>
        <w:ind w:left="820"/>
        <w:spacing w:before="198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4"/>
        </w:rPr>
        <w:t>(十三)无正当理由拒不配合专利预审审查的；</w:t>
      </w:r>
    </w:p>
    <w:p>
      <w:pPr>
        <w:ind w:left="820"/>
        <w:spacing w:before="193" w:line="569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3"/>
          <w:position w:val="19"/>
        </w:rPr>
        <w:t>(十四)对专利预审申请文件过度修改造成技术方案变更，</w:t>
      </w:r>
    </w:p>
    <w:p>
      <w:pPr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从而导致预审工作需重启的；</w:t>
      </w:r>
    </w:p>
    <w:p>
      <w:pPr>
        <w:ind w:left="820"/>
        <w:spacing w:before="200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0"/>
        </w:rPr>
        <w:t>(十五)将已被退回且明显不具备授权前景的专利预审申请</w:t>
      </w:r>
    </w:p>
    <w:p>
      <w:pPr>
        <w:sectPr>
          <w:footerReference w:type="default" r:id="rId13"/>
          <w:pgSz w:w="11910" w:h="16840"/>
          <w:pgMar w:top="1431" w:right="1405" w:bottom="1168" w:left="1579" w:header="0" w:footer="859" w:gutter="0"/>
        </w:sectPr>
        <w:rPr/>
      </w:pPr>
    </w:p>
    <w:p>
      <w:pPr>
        <w:spacing w:line="335" w:lineRule="auto"/>
        <w:rPr>
          <w:rFonts w:ascii="Arial"/>
          <w:sz w:val="21"/>
        </w:rPr>
      </w:pPr>
      <w:r/>
    </w:p>
    <w:p>
      <w:pPr>
        <w:spacing w:line="336" w:lineRule="auto"/>
        <w:rPr>
          <w:rFonts w:ascii="Arial"/>
          <w:sz w:val="21"/>
        </w:rPr>
      </w:pPr>
      <w:r/>
    </w:p>
    <w:p>
      <w:pPr>
        <w:spacing w:before="10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再次提交或简单修改后再次提交预审的；</w:t>
      </w:r>
    </w:p>
    <w:p>
      <w:pPr>
        <w:ind w:left="769"/>
        <w:spacing w:before="198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3"/>
        </w:rPr>
        <w:t>(十六)预审阶段提交材料或期限不符合要求的；</w:t>
      </w:r>
    </w:p>
    <w:p>
      <w:pPr>
        <w:ind w:left="769"/>
        <w:spacing w:before="189" w:line="571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0"/>
          <w:position w:val="19"/>
        </w:rPr>
        <w:t>(十七)在山东保护中心发出预审合格通知书之前，向国家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知识产权局提交正式申请的；</w:t>
      </w:r>
    </w:p>
    <w:p>
      <w:pPr>
        <w:ind w:left="769"/>
        <w:spacing w:before="200" w:line="574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0"/>
          <w:position w:val="19"/>
        </w:rPr>
        <w:t>(十八)向国家知识产权局正式提交的专利申请文件与预审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合格文件内容不一致的；</w:t>
      </w:r>
    </w:p>
    <w:p>
      <w:pPr>
        <w:ind w:left="769"/>
        <w:spacing w:before="194" w:line="568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1"/>
          <w:position w:val="19"/>
        </w:rPr>
        <w:t>(十九)收到山东保护中心预审合格通知书后，无正当理由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未按预审合格通知书要求提交正式申请的；</w:t>
      </w:r>
    </w:p>
    <w:p>
      <w:pPr>
        <w:ind w:right="29" w:firstLine="769"/>
        <w:spacing w:before="199" w:line="34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1"/>
        </w:rPr>
        <w:t>(二十)提交正式申请后未在受理通知书发文日</w:t>
      </w:r>
      <w:r>
        <w:rPr>
          <w:rFonts w:ascii="FangSong" w:hAnsi="FangSong" w:eastAsia="FangSong" w:cs="FangSong"/>
          <w:sz w:val="31"/>
          <w:szCs w:val="31"/>
          <w:spacing w:val="10"/>
        </w:rPr>
        <w:t>当日内完成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5"/>
        </w:rPr>
        <w:t>电子缴费或未在规定时间内向山东保护中心反馈申请号及缴费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凭证的，因系统原因等不可抗力导致的除外；</w:t>
      </w:r>
    </w:p>
    <w:p>
      <w:pPr>
        <w:ind w:left="769"/>
        <w:spacing w:before="197" w:line="566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0"/>
          <w:position w:val="18"/>
        </w:rPr>
        <w:t>(二十一)因备案主体或代理机构过失，导致通过预审的专</w:t>
      </w:r>
    </w:p>
    <w:p>
      <w:pPr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利申请不能进入快速审查通道或被移出快速审查通道的；</w:t>
      </w:r>
    </w:p>
    <w:p>
      <w:pPr>
        <w:ind w:left="769"/>
        <w:spacing w:before="199" w:line="571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2"/>
          <w:position w:val="19"/>
        </w:rPr>
        <w:t>(二十二)未在国家知识产权局发出授予专利权通知书</w:t>
      </w:r>
      <w:r>
        <w:rPr>
          <w:rFonts w:ascii="FangSong" w:hAnsi="FangSong" w:eastAsia="FangSong" w:cs="FangSong"/>
          <w:sz w:val="31"/>
          <w:szCs w:val="31"/>
          <w:spacing w:val="11"/>
          <w:position w:val="19"/>
        </w:rPr>
        <w:t>之日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3"/>
        </w:rPr>
        <w:t>起20个工作日内完成办理登记手续的；</w:t>
      </w:r>
    </w:p>
    <w:p>
      <w:pPr>
        <w:ind w:left="769"/>
        <w:spacing w:before="201" w:line="569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1"/>
          <w:position w:val="19"/>
        </w:rPr>
        <w:t>(二十三)未按要求提交预审文件自检表或预审申请文件出</w:t>
      </w:r>
    </w:p>
    <w:p>
      <w:pPr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现自检表中问题的；</w:t>
      </w:r>
    </w:p>
    <w:p>
      <w:pPr>
        <w:ind w:left="769"/>
        <w:spacing w:before="199" w:line="582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1"/>
          <w:position w:val="20"/>
        </w:rPr>
        <w:t>(二十四)存在其他有碍专利预审服务正常开展的不当行为</w:t>
      </w:r>
    </w:p>
    <w:p>
      <w:pPr>
        <w:spacing w:before="1" w:line="22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9"/>
        </w:rPr>
        <w:t>的。</w:t>
      </w:r>
    </w:p>
    <w:p>
      <w:pPr>
        <w:ind w:left="654"/>
        <w:spacing w:before="228" w:line="221" w:lineRule="auto"/>
        <w:outlineLvl w:val="0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-2"/>
        </w:rPr>
        <w:t>二、</w:t>
      </w:r>
      <w:r>
        <w:rPr>
          <w:rFonts w:ascii="SimHei" w:hAnsi="SimHei" w:eastAsia="SimHei" w:cs="SimHei"/>
          <w:sz w:val="31"/>
          <w:szCs w:val="31"/>
          <w:spacing w:val="-70"/>
        </w:rPr>
        <w:t xml:space="preserve"> </w:t>
      </w:r>
      <w:r>
        <w:rPr>
          <w:rFonts w:ascii="SimHei" w:hAnsi="SimHei" w:eastAsia="SimHei" w:cs="SimHei"/>
          <w:sz w:val="31"/>
          <w:szCs w:val="31"/>
          <w:b/>
          <w:bCs/>
          <w:spacing w:val="-2"/>
        </w:rPr>
        <w:t>第二类负面行为</w:t>
      </w:r>
    </w:p>
    <w:p>
      <w:pPr>
        <w:ind w:left="769"/>
        <w:spacing w:before="173" w:line="587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1"/>
          <w:position w:val="20"/>
        </w:rPr>
        <w:t>(一)备案主体无技术交底书，委托代理机构编造专利预审</w:t>
      </w:r>
    </w:p>
    <w:p>
      <w:pPr>
        <w:ind w:left="60"/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5"/>
        </w:rPr>
        <w:t>申请的；</w:t>
      </w:r>
    </w:p>
    <w:p>
      <w:pPr>
        <w:sectPr>
          <w:footerReference w:type="default" r:id="rId14"/>
          <w:pgSz w:w="11910" w:h="16840"/>
          <w:pgMar w:top="1431" w:right="1489" w:bottom="1158" w:left="1589" w:header="0" w:footer="850" w:gutter="0"/>
        </w:sectPr>
        <w:rPr/>
      </w:pPr>
    </w:p>
    <w:p>
      <w:pPr>
        <w:spacing w:line="303" w:lineRule="auto"/>
        <w:rPr>
          <w:rFonts w:ascii="Arial"/>
          <w:sz w:val="21"/>
        </w:rPr>
      </w:pPr>
      <w:r/>
    </w:p>
    <w:p>
      <w:pPr>
        <w:spacing w:line="304" w:lineRule="auto"/>
        <w:rPr>
          <w:rFonts w:ascii="Arial"/>
          <w:sz w:val="21"/>
        </w:rPr>
      </w:pPr>
      <w:r/>
    </w:p>
    <w:p>
      <w:pPr>
        <w:ind w:left="789"/>
        <w:spacing w:before="104" w:line="574" w:lineRule="exac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2"/>
          <w:position w:val="18"/>
        </w:rPr>
        <w:t>(二)一年内有国家知识产权局认定为非正常专利申请且申</w:t>
      </w:r>
    </w:p>
    <w:p>
      <w:pPr>
        <w:spacing w:line="222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13"/>
        </w:rPr>
        <w:t>诉未通过的；</w:t>
      </w:r>
    </w:p>
    <w:p>
      <w:pPr>
        <w:ind w:right="79" w:firstLine="789"/>
        <w:spacing w:before="180" w:line="33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"/>
        </w:rPr>
        <w:t>(三)提交专利预审申请材料质量不高，经过</w:t>
      </w:r>
      <w:r>
        <w:rPr>
          <w:rFonts w:ascii="FangSong" w:hAnsi="FangSong" w:eastAsia="FangSong" w:cs="FangSong"/>
          <w:sz w:val="32"/>
          <w:szCs w:val="32"/>
        </w:rPr>
        <w:t>两次修改仍达</w:t>
      </w:r>
      <w:r>
        <w:rPr>
          <w:rFonts w:ascii="FangSong" w:hAnsi="FangSong" w:eastAsia="FangSong" w:cs="FangSong"/>
          <w:sz w:val="32"/>
          <w:szCs w:val="32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4"/>
        </w:rPr>
        <w:t>不到预期要求，</w:t>
      </w:r>
      <w:r>
        <w:rPr>
          <w:rFonts w:ascii="FangSong" w:hAnsi="FangSong" w:eastAsia="FangSong" w:cs="FangSong"/>
          <w:sz w:val="32"/>
          <w:szCs w:val="32"/>
          <w:spacing w:val="99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4"/>
        </w:rPr>
        <w:t>一年内此类预审申请占其提交专利预审申请的</w:t>
      </w:r>
    </w:p>
    <w:p>
      <w:pPr>
        <w:spacing w:line="222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8"/>
        </w:rPr>
        <w:t>50%以上的；</w:t>
      </w:r>
    </w:p>
    <w:p>
      <w:pPr>
        <w:ind w:left="789"/>
        <w:spacing w:before="183" w:line="568" w:lineRule="exac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"/>
          <w:position w:val="18"/>
        </w:rPr>
        <w:t>(四)将已经通过普通途径向国家知识产权局提交的专</w:t>
      </w:r>
      <w:r>
        <w:rPr>
          <w:rFonts w:ascii="FangSong" w:hAnsi="FangSong" w:eastAsia="FangSong" w:cs="FangSong"/>
          <w:sz w:val="32"/>
          <w:szCs w:val="32"/>
          <w:position w:val="18"/>
        </w:rPr>
        <w:t>利申</w:t>
      </w:r>
    </w:p>
    <w:p>
      <w:pPr>
        <w:spacing w:line="22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7"/>
        </w:rPr>
        <w:t>请提交预审申请的；</w:t>
      </w:r>
    </w:p>
    <w:p>
      <w:pPr>
        <w:ind w:left="789"/>
        <w:spacing w:before="188" w:line="574" w:lineRule="exac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"/>
          <w:position w:val="18"/>
        </w:rPr>
        <w:t>(五)通过预审的专利申请未按照国家知识产权局的要</w:t>
      </w:r>
      <w:r>
        <w:rPr>
          <w:rFonts w:ascii="FangSong" w:hAnsi="FangSong" w:eastAsia="FangSong" w:cs="FangSong"/>
          <w:sz w:val="32"/>
          <w:szCs w:val="32"/>
          <w:position w:val="18"/>
        </w:rPr>
        <w:t>求按</w:t>
      </w:r>
    </w:p>
    <w:p>
      <w:pPr>
        <w:spacing w:line="222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4"/>
        </w:rPr>
        <w:t>时办理登记手续导致视为放弃取得专利权的；</w:t>
      </w:r>
    </w:p>
    <w:p>
      <w:pPr>
        <w:ind w:right="50" w:firstLine="789"/>
        <w:spacing w:before="180" w:line="329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"/>
        </w:rPr>
        <w:t>(六)代理机构在国家知识产权局“专利代理管</w:t>
      </w:r>
      <w:r>
        <w:rPr>
          <w:rFonts w:ascii="FangSong" w:hAnsi="FangSong" w:eastAsia="FangSong" w:cs="FangSong"/>
          <w:sz w:val="32"/>
          <w:szCs w:val="32"/>
        </w:rPr>
        <w:t>理系统”中</w:t>
      </w:r>
      <w:r>
        <w:rPr>
          <w:rFonts w:ascii="FangSong" w:hAnsi="FangSong" w:eastAsia="FangSong" w:cs="FangSong"/>
          <w:sz w:val="32"/>
          <w:szCs w:val="32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17"/>
        </w:rPr>
        <w:t>处于异常状态，或因违反《专利代理条例》、</w:t>
      </w:r>
      <w:r>
        <w:rPr>
          <w:rFonts w:ascii="FangSong" w:hAnsi="FangSong" w:eastAsia="FangSong" w:cs="FangSong"/>
          <w:sz w:val="32"/>
          <w:szCs w:val="32"/>
          <w:spacing w:val="17"/>
        </w:rPr>
        <w:t xml:space="preserve">  </w:t>
      </w:r>
      <w:r>
        <w:rPr>
          <w:rFonts w:ascii="FangSong" w:hAnsi="FangSong" w:eastAsia="FangSong" w:cs="FangSong"/>
          <w:sz w:val="32"/>
          <w:szCs w:val="32"/>
          <w:spacing w:val="-17"/>
        </w:rPr>
        <w:t>《专利代理管理办</w:t>
      </w:r>
    </w:p>
    <w:p>
      <w:pPr>
        <w:spacing w:line="219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3"/>
        </w:rPr>
        <w:t>法》规定而受到行政处罚，且行政处罚结果在公示期的；</w:t>
      </w:r>
    </w:p>
    <w:p>
      <w:pPr>
        <w:ind w:left="789"/>
        <w:spacing w:before="192" w:line="22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4"/>
        </w:rPr>
        <w:t>(七)干扰或不配合专利预审相关工作的；</w:t>
      </w:r>
    </w:p>
    <w:p>
      <w:pPr>
        <w:ind w:left="789"/>
        <w:spacing w:before="187" w:line="602" w:lineRule="exac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position w:val="21"/>
        </w:rPr>
        <w:t>(八)存在其他应当暂缓对其提供专利预审服务的不当行为</w:t>
      </w:r>
    </w:p>
    <w:p>
      <w:pPr>
        <w:spacing w:before="1" w:line="226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13"/>
        </w:rPr>
        <w:t>的。</w:t>
      </w:r>
    </w:p>
    <w:p>
      <w:pPr>
        <w:ind w:left="674"/>
        <w:spacing w:before="195" w:line="221" w:lineRule="auto"/>
        <w:outlineLvl w:val="0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-11"/>
        </w:rPr>
        <w:t>三、</w:t>
      </w:r>
      <w:r>
        <w:rPr>
          <w:rFonts w:ascii="SimHei" w:hAnsi="SimHei" w:eastAsia="SimHei" w:cs="SimHei"/>
          <w:sz w:val="32"/>
          <w:szCs w:val="32"/>
          <w:spacing w:val="-84"/>
        </w:rPr>
        <w:t xml:space="preserve"> </w:t>
      </w:r>
      <w:r>
        <w:rPr>
          <w:rFonts w:ascii="SimHei" w:hAnsi="SimHei" w:eastAsia="SimHei" w:cs="SimHei"/>
          <w:sz w:val="32"/>
          <w:szCs w:val="32"/>
          <w:b/>
          <w:bCs/>
          <w:spacing w:val="-11"/>
        </w:rPr>
        <w:t>第三类负面行为</w:t>
      </w:r>
    </w:p>
    <w:p>
      <w:pPr>
        <w:ind w:firstLine="789"/>
        <w:spacing w:before="187" w:line="329" w:lineRule="auto"/>
        <w:jc w:val="both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4"/>
        </w:rPr>
        <w:t>(一)提交虚假材料的，包括但不限于注册备案申</w:t>
      </w:r>
      <w:r>
        <w:rPr>
          <w:rFonts w:ascii="FangSong" w:hAnsi="FangSong" w:eastAsia="FangSong" w:cs="FangSong"/>
          <w:sz w:val="32"/>
          <w:szCs w:val="32"/>
          <w:spacing w:val="3"/>
        </w:rPr>
        <w:t>请材料、</w:t>
      </w:r>
      <w:r>
        <w:rPr>
          <w:rFonts w:ascii="FangSong" w:hAnsi="FangSong" w:eastAsia="FangSong" w:cs="FangSong"/>
          <w:sz w:val="32"/>
          <w:szCs w:val="32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5"/>
        </w:rPr>
        <w:t>专利预审申请材料、著录项目变更证明材料、生产研发</w:t>
      </w:r>
      <w:r>
        <w:rPr>
          <w:rFonts w:ascii="FangSong" w:hAnsi="FangSong" w:eastAsia="FangSong" w:cs="FangSong"/>
          <w:sz w:val="32"/>
          <w:szCs w:val="32"/>
          <w:spacing w:val="-6"/>
        </w:rPr>
        <w:t>能力及共</w:t>
      </w:r>
    </w:p>
    <w:p>
      <w:pPr>
        <w:spacing w:before="1" w:line="22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9"/>
        </w:rPr>
        <w:t>同研发证明材料等；</w:t>
      </w:r>
    </w:p>
    <w:p>
      <w:pPr>
        <w:ind w:right="68" w:firstLine="789"/>
        <w:spacing w:before="188" w:line="330" w:lineRule="auto"/>
        <w:jc w:val="both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"/>
        </w:rPr>
        <w:t>(二)提交专利预审申请材料质量不高，经过</w:t>
      </w:r>
      <w:r>
        <w:rPr>
          <w:rFonts w:ascii="FangSong" w:hAnsi="FangSong" w:eastAsia="FangSong" w:cs="FangSong"/>
          <w:sz w:val="32"/>
          <w:szCs w:val="32"/>
        </w:rPr>
        <w:t>两次修改仍达</w:t>
      </w:r>
      <w:r>
        <w:rPr>
          <w:rFonts w:ascii="FangSong" w:hAnsi="FangSong" w:eastAsia="FangSong" w:cs="FangSong"/>
          <w:sz w:val="32"/>
          <w:szCs w:val="32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3"/>
        </w:rPr>
        <w:t>不到预期要求，</w:t>
      </w:r>
      <w:r>
        <w:rPr>
          <w:rFonts w:ascii="FangSong" w:hAnsi="FangSong" w:eastAsia="FangSong" w:cs="FangSong"/>
          <w:sz w:val="32"/>
          <w:szCs w:val="32"/>
          <w:spacing w:val="101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3"/>
        </w:rPr>
        <w:t>一年内此类预审申请占其提交专利预审申请的</w:t>
      </w:r>
    </w:p>
    <w:p>
      <w:pPr>
        <w:spacing w:before="1" w:line="222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8"/>
        </w:rPr>
        <w:t>70%以上的；</w:t>
      </w:r>
    </w:p>
    <w:p>
      <w:pPr>
        <w:sectPr>
          <w:footerReference w:type="default" r:id="rId15"/>
          <w:pgSz w:w="11910" w:h="16840"/>
          <w:pgMar w:top="1431" w:right="1439" w:bottom="1164" w:left="1579" w:header="0" w:footer="875" w:gutter="0"/>
        </w:sectPr>
        <w:rPr/>
      </w:pPr>
    </w:p>
    <w:p>
      <w:pPr>
        <w:spacing w:line="325" w:lineRule="auto"/>
        <w:rPr>
          <w:rFonts w:ascii="Arial"/>
          <w:sz w:val="21"/>
        </w:rPr>
      </w:pPr>
      <w:r/>
    </w:p>
    <w:p>
      <w:pPr>
        <w:spacing w:line="325" w:lineRule="auto"/>
        <w:rPr>
          <w:rFonts w:ascii="Arial"/>
          <w:sz w:val="21"/>
        </w:rPr>
      </w:pPr>
      <w:r/>
    </w:p>
    <w:p>
      <w:pPr>
        <w:ind w:left="779"/>
        <w:spacing w:before="101" w:line="580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5"/>
          <w:position w:val="20"/>
        </w:rPr>
        <w:t>(三)一年内有2件及以上专利申请被国家知识产权局认定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"/>
        </w:rPr>
        <w:t>为非正常专利申请且申诉未通过的；</w:t>
      </w:r>
    </w:p>
    <w:p>
      <w:pPr>
        <w:ind w:right="54" w:firstLine="779"/>
        <w:spacing w:before="197" w:line="34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5"/>
        </w:rPr>
        <w:t>(四)被通报存在《关于规范申请专利行为的办法》(国家</w:t>
      </w:r>
      <w:r>
        <w:rPr>
          <w:rFonts w:ascii="FangSong" w:hAnsi="FangSong" w:eastAsia="FangSong" w:cs="FangSong"/>
          <w:sz w:val="31"/>
          <w:szCs w:val="31"/>
          <w:spacing w:val="1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知识产权局公告第411号)、</w:t>
      </w:r>
      <w:r>
        <w:rPr>
          <w:rFonts w:ascii="FangSong" w:hAnsi="FangSong" w:eastAsia="FangSong" w:cs="FangSong"/>
          <w:sz w:val="31"/>
          <w:szCs w:val="31"/>
          <w:spacing w:val="11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《专利领域严重失信联合惩戒对象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4"/>
        </w:rPr>
        <w:t>名单管理办法(试行)》</w:t>
      </w:r>
      <w:r>
        <w:rPr>
          <w:rFonts w:ascii="FangSong" w:hAnsi="FangSong" w:eastAsia="FangSong" w:cs="FangSong"/>
          <w:sz w:val="31"/>
          <w:szCs w:val="31"/>
          <w:spacing w:val="9"/>
        </w:rPr>
        <w:t xml:space="preserve">  </w:t>
      </w:r>
      <w:r>
        <w:rPr>
          <w:rFonts w:ascii="FangSong" w:hAnsi="FangSong" w:eastAsia="FangSong" w:cs="FangSong"/>
          <w:sz w:val="31"/>
          <w:szCs w:val="31"/>
          <w:spacing w:val="14"/>
        </w:rPr>
        <w:t>(国知发保字〔2019〕52号)、</w:t>
      </w:r>
      <w:r>
        <w:rPr>
          <w:rFonts w:ascii="FangSong" w:hAnsi="FangSong" w:eastAsia="FangSong" w:cs="FangSong"/>
          <w:sz w:val="31"/>
          <w:szCs w:val="31"/>
          <w:spacing w:val="10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4"/>
        </w:rPr>
        <w:t>《市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0"/>
        </w:rPr>
        <w:t>场监督管理严重违法失信名单管理办法》(国家市场</w:t>
      </w:r>
      <w:r>
        <w:rPr>
          <w:rFonts w:ascii="FangSong" w:hAnsi="FangSong" w:eastAsia="FangSong" w:cs="FangSong"/>
          <w:sz w:val="31"/>
          <w:szCs w:val="31"/>
          <w:spacing w:val="9"/>
        </w:rPr>
        <w:t>监督管理总</w:t>
      </w:r>
    </w:p>
    <w:p>
      <w:pPr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9"/>
        </w:rPr>
        <w:t>局令第44号)等有关文件所规制的不当行为的；</w:t>
      </w:r>
    </w:p>
    <w:p>
      <w:pPr>
        <w:ind w:left="779"/>
        <w:spacing w:before="197" w:line="570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1"/>
          <w:position w:val="19"/>
        </w:rPr>
        <w:t>(五)专利申请文件进入快速审查通道后，多次违反《承诺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书》或《申请须知》要求，导致专利快速审查无法顺利进行的；</w:t>
      </w:r>
    </w:p>
    <w:p>
      <w:pPr>
        <w:ind w:left="779"/>
        <w:spacing w:before="198" w:line="576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"/>
          <w:position w:val="19"/>
        </w:rPr>
        <w:t>(六)备案主体专利申请获得授权后，</w:t>
      </w:r>
      <w:r>
        <w:rPr>
          <w:rFonts w:ascii="FangSong" w:hAnsi="FangSong" w:eastAsia="FangSong" w:cs="FangSong"/>
          <w:sz w:val="31"/>
          <w:szCs w:val="31"/>
          <w:spacing w:val="112"/>
          <w:position w:val="1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  <w:position w:val="19"/>
        </w:rPr>
        <w:t>一年内专利权转让超</w:t>
      </w:r>
    </w:p>
    <w:p>
      <w:pPr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过五件且未报备或者报备理由不充分的；</w:t>
      </w:r>
    </w:p>
    <w:p>
      <w:pPr>
        <w:ind w:right="31" w:firstLine="779"/>
        <w:spacing w:before="192" w:line="34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1"/>
        </w:rPr>
        <w:t>(七)存在重复、故意、恶意专利侵权，假冒专利，骗取专</w:t>
      </w:r>
      <w:r>
        <w:rPr>
          <w:rFonts w:ascii="FangSong" w:hAnsi="FangSong" w:eastAsia="FangSong" w:cs="FangSong"/>
          <w:sz w:val="31"/>
          <w:szCs w:val="31"/>
          <w:spacing w:val="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5"/>
        </w:rPr>
        <w:t>利资助，无资质代理，违规代理，虚假宣传牟利等知识产权领域</w:t>
      </w:r>
    </w:p>
    <w:p>
      <w:pPr>
        <w:spacing w:before="2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违法失信行为或其他不良信用记录的；</w:t>
      </w:r>
    </w:p>
    <w:p>
      <w:pPr>
        <w:ind w:right="15" w:firstLine="779"/>
        <w:spacing w:before="196" w:line="34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1"/>
        </w:rPr>
        <w:t>(八)备案主体无实体研发经营情况，仅为专利申请载体或</w:t>
      </w:r>
      <w:r>
        <w:rPr>
          <w:rFonts w:ascii="FangSong" w:hAnsi="FangSong" w:eastAsia="FangSong" w:cs="FangSong"/>
          <w:sz w:val="31"/>
          <w:szCs w:val="31"/>
          <w:spacing w:val="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5"/>
        </w:rPr>
        <w:t>仅为专利申请提供便利的，或以提供知识产权服务为其主营业务</w:t>
      </w:r>
    </w:p>
    <w:p>
      <w:pPr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9"/>
        </w:rPr>
        <w:t>的；</w:t>
      </w:r>
    </w:p>
    <w:p>
      <w:pPr>
        <w:ind w:left="779"/>
        <w:spacing w:before="194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5"/>
        </w:rPr>
        <w:t>(九)备案主体或代理机构已消亡的；</w:t>
      </w:r>
    </w:p>
    <w:p>
      <w:pPr>
        <w:ind w:left="779"/>
        <w:spacing w:before="226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4"/>
        </w:rPr>
        <w:t>(十)严重干扰或不配合专利预审相关工作的；</w:t>
      </w:r>
    </w:p>
    <w:p>
      <w:pPr>
        <w:ind w:left="779"/>
        <w:spacing w:before="199" w:line="585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1"/>
          <w:position w:val="20"/>
        </w:rPr>
        <w:t>(十一)存在其他严重不当行为，导致不适合继续对其提供</w:t>
      </w:r>
    </w:p>
    <w:p>
      <w:pPr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</w:rPr>
        <w:t>专利预审服务的。</w:t>
      </w:r>
    </w:p>
    <w:p>
      <w:pPr>
        <w:sectPr>
          <w:footerReference w:type="default" r:id="rId16"/>
          <w:pgSz w:w="11910" w:h="16840"/>
          <w:pgMar w:top="1431" w:right="1474" w:bottom="1168" w:left="1579" w:header="0" w:footer="859" w:gutter="0"/>
        </w:sectPr>
        <w:rPr/>
      </w:pPr>
    </w:p>
    <w:p>
      <w:pPr>
        <w:spacing w:line="323" w:lineRule="auto"/>
        <w:rPr>
          <w:rFonts w:ascii="Arial"/>
          <w:sz w:val="21"/>
        </w:rPr>
      </w:pPr>
      <w:r/>
    </w:p>
    <w:p>
      <w:pPr>
        <w:spacing w:line="323" w:lineRule="auto"/>
        <w:rPr>
          <w:rFonts w:ascii="Arial"/>
          <w:sz w:val="21"/>
        </w:rPr>
      </w:pPr>
      <w:r/>
    </w:p>
    <w:p>
      <w:pPr>
        <w:ind w:left="124"/>
        <w:spacing w:before="94" w:line="224" w:lineRule="auto"/>
        <w:rPr>
          <w:rFonts w:ascii="SimHei" w:hAnsi="SimHei" w:eastAsia="SimHei" w:cs="SimHei"/>
          <w:sz w:val="29"/>
          <w:szCs w:val="29"/>
        </w:rPr>
      </w:pPr>
      <w:r>
        <w:rPr>
          <w:rFonts w:ascii="SimHei" w:hAnsi="SimHei" w:eastAsia="SimHei" w:cs="SimHei"/>
          <w:sz w:val="29"/>
          <w:szCs w:val="29"/>
          <w:spacing w:val="-13"/>
        </w:rPr>
        <w:t>附</w:t>
      </w:r>
      <w:r>
        <w:rPr>
          <w:rFonts w:ascii="SimHei" w:hAnsi="SimHei" w:eastAsia="SimHei" w:cs="SimHei"/>
          <w:sz w:val="29"/>
          <w:szCs w:val="29"/>
          <w:spacing w:val="-40"/>
        </w:rPr>
        <w:t xml:space="preserve"> </w:t>
      </w:r>
      <w:r>
        <w:rPr>
          <w:rFonts w:ascii="SimHei" w:hAnsi="SimHei" w:eastAsia="SimHei" w:cs="SimHei"/>
          <w:sz w:val="29"/>
          <w:szCs w:val="29"/>
          <w:spacing w:val="-13"/>
        </w:rPr>
        <w:t>件</w:t>
      </w:r>
      <w:r>
        <w:rPr>
          <w:rFonts w:ascii="SimHei" w:hAnsi="SimHei" w:eastAsia="SimHei" w:cs="SimHei"/>
          <w:sz w:val="29"/>
          <w:szCs w:val="29"/>
          <w:spacing w:val="-41"/>
        </w:rPr>
        <w:t xml:space="preserve"> </w:t>
      </w:r>
      <w:r>
        <w:rPr>
          <w:rFonts w:ascii="SimHei" w:hAnsi="SimHei" w:eastAsia="SimHei" w:cs="SimHei"/>
          <w:sz w:val="29"/>
          <w:szCs w:val="29"/>
          <w:spacing w:val="-13"/>
        </w:rPr>
        <w:t>2</w:t>
      </w:r>
    </w:p>
    <w:p>
      <w:pPr>
        <w:ind w:left="3001"/>
        <w:spacing w:before="94" w:line="219" w:lineRule="auto"/>
        <w:rPr>
          <w:rFonts w:ascii="SimSun" w:hAnsi="SimSun" w:eastAsia="SimSun" w:cs="SimSun"/>
          <w:sz w:val="44"/>
          <w:szCs w:val="44"/>
        </w:rPr>
      </w:pPr>
      <w:r>
        <w:rPr>
          <w:rFonts w:ascii="SimSun" w:hAnsi="SimSun" w:eastAsia="SimSun" w:cs="SimSun"/>
          <w:sz w:val="44"/>
          <w:szCs w:val="44"/>
          <w:b/>
          <w:bCs/>
          <w:spacing w:val="-8"/>
        </w:rPr>
        <w:t>预审文件自检表</w:t>
      </w:r>
    </w:p>
    <w:p>
      <w:pPr>
        <w:ind w:left="2144"/>
        <w:spacing w:before="120" w:line="223" w:lineRule="auto"/>
        <w:rPr>
          <w:rFonts w:ascii="KaiTi" w:hAnsi="KaiTi" w:eastAsia="KaiTi" w:cs="KaiTi"/>
          <w:sz w:val="29"/>
          <w:szCs w:val="29"/>
        </w:rPr>
      </w:pPr>
      <w:r>
        <w:rPr>
          <w:rFonts w:ascii="KaiTi" w:hAnsi="KaiTi" w:eastAsia="KaiTi" w:cs="KaiTi"/>
          <w:sz w:val="29"/>
          <w:szCs w:val="29"/>
          <w:spacing w:val="11"/>
        </w:rPr>
        <w:t>发明、实用新型专利预审文件自检表</w:t>
      </w:r>
    </w:p>
    <w:p>
      <w:pPr>
        <w:spacing w:line="119" w:lineRule="exact"/>
        <w:rPr/>
      </w:pPr>
      <w:r/>
    </w:p>
    <w:tbl>
      <w:tblPr>
        <w:tblStyle w:val="2"/>
        <w:tblW w:w="906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793"/>
        <w:gridCol w:w="5883"/>
        <w:gridCol w:w="1393"/>
      </w:tblGrid>
      <w:tr>
        <w:trPr>
          <w:trHeight w:val="375" w:hRule="atLeast"/>
        </w:trPr>
        <w:tc>
          <w:tcPr>
            <w:tcW w:w="9069" w:type="dxa"/>
            <w:vAlign w:val="top"/>
            <w:gridSpan w:val="3"/>
          </w:tcPr>
          <w:p>
            <w:pPr>
              <w:ind w:left="3408"/>
              <w:spacing w:before="51" w:line="213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b/>
                <w:bCs/>
                <w:spacing w:val="-2"/>
              </w:rPr>
              <w:t>预审文件基本信息</w:t>
            </w:r>
          </w:p>
        </w:tc>
      </w:tr>
      <w:tr>
        <w:trPr>
          <w:trHeight w:val="479" w:hRule="atLeast"/>
        </w:trPr>
        <w:tc>
          <w:tcPr>
            <w:tcW w:w="1793" w:type="dxa"/>
            <w:vAlign w:val="top"/>
          </w:tcPr>
          <w:p>
            <w:pPr>
              <w:ind w:left="324"/>
              <w:spacing w:before="102" w:line="220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3"/>
              </w:rPr>
              <w:t>专利名称</w:t>
            </w:r>
          </w:p>
        </w:tc>
        <w:tc>
          <w:tcPr>
            <w:tcW w:w="727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109" w:hRule="atLeast"/>
        </w:trPr>
        <w:tc>
          <w:tcPr>
            <w:tcW w:w="1793" w:type="dxa"/>
            <w:vAlign w:val="top"/>
          </w:tcPr>
          <w:p>
            <w:pPr>
              <w:ind w:left="184"/>
              <w:spacing w:before="62" w:line="219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2"/>
              </w:rPr>
              <w:t>概括核心发</w:t>
            </w:r>
          </w:p>
          <w:p>
            <w:pPr>
              <w:ind w:left="184"/>
              <w:spacing w:before="47" w:line="219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1"/>
              </w:rPr>
              <w:t>明点(100字</w:t>
            </w:r>
          </w:p>
          <w:p>
            <w:pPr>
              <w:ind w:left="534"/>
              <w:spacing w:before="8" w:line="215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20"/>
              </w:rPr>
              <w:t>以内)</w:t>
            </w:r>
          </w:p>
        </w:tc>
        <w:tc>
          <w:tcPr>
            <w:tcW w:w="727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19" w:hRule="atLeast"/>
        </w:trPr>
        <w:tc>
          <w:tcPr>
            <w:tcW w:w="1793" w:type="dxa"/>
            <w:vAlign w:val="top"/>
          </w:tcPr>
          <w:p>
            <w:pPr>
              <w:ind w:left="394" w:right="116" w:hanging="280"/>
              <w:spacing w:before="72" w:line="221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11"/>
              </w:rPr>
              <w:t>分类号(具体</w:t>
            </w:r>
            <w:r>
              <w:rPr>
                <w:rFonts w:ascii="SimSun" w:hAnsi="SimSun" w:eastAsia="SimSun" w:cs="SimSun"/>
                <w:sz w:val="27"/>
                <w:szCs w:val="27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24"/>
              </w:rPr>
              <w:t>到小组)</w:t>
            </w:r>
          </w:p>
        </w:tc>
        <w:tc>
          <w:tcPr>
            <w:tcW w:w="727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459" w:hRule="atLeast"/>
        </w:trPr>
        <w:tc>
          <w:tcPr>
            <w:tcW w:w="1793" w:type="dxa"/>
            <w:vAlign w:val="top"/>
          </w:tcPr>
          <w:p>
            <w:pPr>
              <w:ind w:left="44" w:firstLine="133"/>
              <w:spacing w:before="95" w:line="242" w:lineRule="auto"/>
              <w:jc w:val="right"/>
              <w:rPr>
                <w:rFonts w:ascii="SimSun" w:hAnsi="SimSun" w:eastAsia="SimSun" w:cs="SimSun"/>
                <w:sz w:val="26"/>
                <w:szCs w:val="26"/>
              </w:rPr>
            </w:pPr>
            <w:r>
              <w:rPr>
                <w:rFonts w:ascii="SimSun" w:hAnsi="SimSun" w:eastAsia="SimSun" w:cs="SimSun"/>
                <w:sz w:val="26"/>
                <w:szCs w:val="26"/>
                <w:spacing w:val="10"/>
              </w:rPr>
              <w:t>对比文件公</w:t>
            </w:r>
            <w:r>
              <w:rPr>
                <w:rFonts w:ascii="SimSun" w:hAnsi="SimSun" w:eastAsia="SimSun" w:cs="SimSun"/>
                <w:sz w:val="26"/>
                <w:szCs w:val="26"/>
              </w:rPr>
              <w:t xml:space="preserve">   </w:t>
            </w:r>
            <w:r>
              <w:rPr>
                <w:rFonts w:ascii="SimSun" w:hAnsi="SimSun" w:eastAsia="SimSun" w:cs="SimSun"/>
                <w:sz w:val="26"/>
                <w:szCs w:val="26"/>
                <w:spacing w:val="7"/>
              </w:rPr>
              <w:t>开信息(专利/</w:t>
            </w:r>
            <w:r>
              <w:rPr>
                <w:rFonts w:ascii="SimSun" w:hAnsi="SimSun" w:eastAsia="SimSun" w:cs="SimSun"/>
                <w:sz w:val="26"/>
                <w:szCs w:val="26"/>
                <w:spacing w:val="2"/>
              </w:rPr>
              <w:t xml:space="preserve">  </w:t>
            </w:r>
            <w:r>
              <w:rPr>
                <w:rFonts w:ascii="SimSun" w:hAnsi="SimSun" w:eastAsia="SimSun" w:cs="SimSun"/>
                <w:sz w:val="26"/>
                <w:szCs w:val="26"/>
                <w:spacing w:val="29"/>
              </w:rPr>
              <w:t>非专利文件，</w:t>
            </w:r>
            <w:r>
              <w:rPr>
                <w:rFonts w:ascii="SimSun" w:hAnsi="SimSun" w:eastAsia="SimSun" w:cs="SimSun"/>
                <w:sz w:val="26"/>
                <w:szCs w:val="26"/>
              </w:rPr>
              <w:t xml:space="preserve"> </w:t>
            </w:r>
            <w:r>
              <w:rPr>
                <w:rFonts w:ascii="SimSun" w:hAnsi="SimSun" w:eastAsia="SimSun" w:cs="SimSun"/>
                <w:sz w:val="26"/>
                <w:szCs w:val="26"/>
                <w:spacing w:val="15"/>
              </w:rPr>
              <w:t>2篇及以上)</w:t>
            </w:r>
          </w:p>
        </w:tc>
        <w:tc>
          <w:tcPr>
            <w:tcW w:w="727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70" w:hRule="atLeast"/>
        </w:trPr>
        <w:tc>
          <w:tcPr>
            <w:tcW w:w="9069" w:type="dxa"/>
            <w:vAlign w:val="top"/>
            <w:gridSpan w:val="3"/>
          </w:tcPr>
          <w:p>
            <w:pPr>
              <w:ind w:left="3964"/>
              <w:spacing w:before="54" w:line="208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3"/>
              </w:rPr>
              <w:t>自检内容</w:t>
            </w:r>
          </w:p>
        </w:tc>
      </w:tr>
      <w:tr>
        <w:trPr>
          <w:trHeight w:val="1438" w:hRule="atLeast"/>
        </w:trPr>
        <w:tc>
          <w:tcPr>
            <w:tcW w:w="1793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ind w:left="604"/>
              <w:spacing w:before="91" w:line="219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9"/>
              </w:rPr>
              <w:t>类型</w:t>
            </w:r>
          </w:p>
        </w:tc>
        <w:tc>
          <w:tcPr>
            <w:tcW w:w="5883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ind w:left="2401"/>
              <w:spacing w:before="91" w:line="219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13"/>
              </w:rPr>
              <w:t>自检项目</w:t>
            </w:r>
          </w:p>
        </w:tc>
        <w:tc>
          <w:tcPr>
            <w:tcW w:w="1393" w:type="dxa"/>
            <w:vAlign w:val="top"/>
          </w:tcPr>
          <w:p>
            <w:pPr>
              <w:ind w:left="128"/>
              <w:spacing w:before="55" w:line="219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4"/>
              </w:rPr>
              <w:t>自检结果</w:t>
            </w:r>
          </w:p>
          <w:p>
            <w:pPr>
              <w:ind w:left="198"/>
              <w:spacing w:before="27" w:line="219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3"/>
              </w:rPr>
              <w:t>(符合要</w:t>
            </w:r>
          </w:p>
          <w:p>
            <w:pPr>
              <w:ind w:left="268"/>
              <w:spacing w:before="18" w:line="220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6"/>
              </w:rPr>
              <w:t>求请划</w:t>
            </w:r>
          </w:p>
          <w:p>
            <w:pPr>
              <w:ind w:left="58"/>
              <w:spacing w:before="30" w:line="203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24"/>
              </w:rPr>
              <w:t>“</w:t>
            </w:r>
            <w:r>
              <w:rPr>
                <w:rFonts w:ascii="SimSun" w:hAnsi="SimSun" w:eastAsia="SimSun" w:cs="SimSun"/>
                <w:sz w:val="28"/>
                <w:szCs w:val="28"/>
                <w:spacing w:val="-61"/>
              </w:rPr>
              <w:t xml:space="preserve"> </w:t>
            </w:r>
            <w:r>
              <w:rPr>
                <w:rFonts w:ascii="SimSun" w:hAnsi="SimSun" w:eastAsia="SimSun" w:cs="SimSun"/>
                <w:sz w:val="28"/>
                <w:szCs w:val="28"/>
                <w:spacing w:val="-24"/>
              </w:rPr>
              <w:t>√</w:t>
            </w:r>
            <w:r>
              <w:rPr>
                <w:rFonts w:ascii="SimSun" w:hAnsi="SimSun" w:eastAsia="SimSun" w:cs="SimSun"/>
                <w:sz w:val="28"/>
                <w:szCs w:val="28"/>
                <w:spacing w:val="-103"/>
              </w:rPr>
              <w:t xml:space="preserve"> </w:t>
            </w:r>
            <w:r>
              <w:rPr>
                <w:rFonts w:ascii="SimSun" w:hAnsi="SimSun" w:eastAsia="SimSun" w:cs="SimSun"/>
                <w:sz w:val="28"/>
                <w:szCs w:val="28"/>
                <w:spacing w:val="-24"/>
              </w:rPr>
              <w:t>”)</w:t>
            </w:r>
          </w:p>
        </w:tc>
      </w:tr>
      <w:tr>
        <w:trPr>
          <w:trHeight w:val="1099" w:hRule="atLeast"/>
        </w:trPr>
        <w:tc>
          <w:tcPr>
            <w:tcW w:w="1793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ind w:left="324"/>
              <w:spacing w:before="91" w:line="221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3"/>
              </w:rPr>
              <w:t>整体要求</w:t>
            </w:r>
          </w:p>
        </w:tc>
        <w:tc>
          <w:tcPr>
            <w:tcW w:w="5883" w:type="dxa"/>
            <w:vAlign w:val="top"/>
          </w:tcPr>
          <w:p>
            <w:pPr>
              <w:ind w:left="102"/>
              <w:spacing w:before="98" w:line="228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4"/>
              </w:rPr>
              <w:t>1.不涉及国家知识产权局《关于规范申请专利行</w:t>
            </w:r>
            <w:r>
              <w:rPr>
                <w:rFonts w:ascii="SimSun" w:hAnsi="SimSun" w:eastAsia="SimSun" w:cs="SimSun"/>
                <w:sz w:val="27"/>
                <w:szCs w:val="27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29"/>
              </w:rPr>
              <w:t>为的办法》(国家知识产权局公告第411号)</w:t>
            </w:r>
            <w:r>
              <w:rPr>
                <w:rFonts w:ascii="SimSun" w:hAnsi="SimSun" w:eastAsia="SimSun" w:cs="SimSun"/>
                <w:sz w:val="27"/>
                <w:szCs w:val="27"/>
                <w:spacing w:val="1"/>
              </w:rPr>
              <w:t xml:space="preserve">  </w:t>
            </w:r>
            <w:r>
              <w:rPr>
                <w:rFonts w:ascii="SimSun" w:hAnsi="SimSun" w:eastAsia="SimSun" w:cs="SimSun"/>
                <w:sz w:val="27"/>
                <w:szCs w:val="27"/>
                <w:spacing w:val="19"/>
              </w:rPr>
              <w:t>规定的非正常申请专利行为。</w:t>
            </w:r>
          </w:p>
        </w:tc>
        <w:tc>
          <w:tcPr>
            <w:tcW w:w="13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288" w:hRule="atLeast"/>
        </w:trPr>
        <w:tc>
          <w:tcPr>
            <w:tcW w:w="179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83" w:type="dxa"/>
            <w:vAlign w:val="top"/>
          </w:tcPr>
          <w:p>
            <w:pPr>
              <w:ind w:left="102"/>
              <w:spacing w:before="120" w:line="246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-2"/>
              </w:rPr>
              <w:t>2.文本完整：发明/实用新型专利请求书、权利要</w:t>
            </w:r>
            <w:r>
              <w:rPr>
                <w:rFonts w:ascii="SimSun" w:hAnsi="SimSun" w:eastAsia="SimSun" w:cs="SimSun"/>
                <w:sz w:val="27"/>
                <w:szCs w:val="27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4"/>
              </w:rPr>
              <w:t>求书、说明书摘要及附图、说明书、说明书附图</w:t>
            </w:r>
            <w:r>
              <w:rPr>
                <w:rFonts w:ascii="SimSun" w:hAnsi="SimSun" w:eastAsia="SimSun" w:cs="SimSun"/>
                <w:sz w:val="27"/>
                <w:szCs w:val="27"/>
                <w:spacing w:val="15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20"/>
              </w:rPr>
              <w:t>(如有)、专利代理委托书(如有)、第一发明</w:t>
            </w:r>
            <w:r>
              <w:rPr>
                <w:rFonts w:ascii="SimSun" w:hAnsi="SimSun" w:eastAsia="SimSun" w:cs="SimSun"/>
                <w:sz w:val="27"/>
                <w:szCs w:val="27"/>
                <w:spacing w:val="8"/>
              </w:rPr>
              <w:t xml:space="preserve">  </w:t>
            </w:r>
            <w:r>
              <w:rPr>
                <w:rFonts w:ascii="SimSun" w:hAnsi="SimSun" w:eastAsia="SimSun" w:cs="SimSun"/>
                <w:sz w:val="27"/>
                <w:szCs w:val="27"/>
                <w:spacing w:val="11"/>
              </w:rPr>
              <w:t>人身份证复印件、总委回执(如有)、核苷酸或</w:t>
            </w:r>
            <w:r>
              <w:rPr>
                <w:rFonts w:ascii="SimSun" w:hAnsi="SimSun" w:eastAsia="SimSun" w:cs="SimSun"/>
                <w:sz w:val="27"/>
                <w:szCs w:val="27"/>
              </w:rPr>
              <w:t xml:space="preserve">  </w:t>
            </w:r>
            <w:r>
              <w:rPr>
                <w:rFonts w:ascii="SimSun" w:hAnsi="SimSun" w:eastAsia="SimSun" w:cs="SimSun"/>
                <w:sz w:val="27"/>
                <w:szCs w:val="27"/>
                <w:spacing w:val="12"/>
              </w:rPr>
              <w:t>氨基酸序列表(如有)、遗传资源来源披露登记</w:t>
            </w:r>
            <w:r>
              <w:rPr>
                <w:rFonts w:ascii="SimSun" w:hAnsi="SimSun" w:eastAsia="SimSun" w:cs="SimSun"/>
                <w:sz w:val="27"/>
                <w:szCs w:val="27"/>
                <w:spacing w:val="17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20"/>
              </w:rPr>
              <w:t>表(如有)、保藏证明和存活证明(如有)。</w:t>
            </w:r>
          </w:p>
        </w:tc>
        <w:tc>
          <w:tcPr>
            <w:tcW w:w="13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29" w:hRule="atLeast"/>
        </w:trPr>
        <w:tc>
          <w:tcPr>
            <w:tcW w:w="179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83" w:type="dxa"/>
            <w:vAlign w:val="top"/>
          </w:tcPr>
          <w:p>
            <w:pPr>
              <w:ind w:left="102"/>
              <w:spacing w:before="91" w:line="218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4"/>
              </w:rPr>
              <w:t>3.申请文件中不应有错别字、误用字、标点符号</w:t>
            </w:r>
            <w:r>
              <w:rPr>
                <w:rFonts w:ascii="SimSun" w:hAnsi="SimSun" w:eastAsia="SimSun" w:cs="SimSun"/>
                <w:sz w:val="27"/>
                <w:szCs w:val="27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17"/>
              </w:rPr>
              <w:t>错误、语句不通顺、语句重复等问题。</w:t>
            </w:r>
          </w:p>
        </w:tc>
        <w:tc>
          <w:tcPr>
            <w:tcW w:w="13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34" w:hRule="atLeast"/>
        </w:trPr>
        <w:tc>
          <w:tcPr>
            <w:tcW w:w="1793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83" w:type="dxa"/>
            <w:vAlign w:val="top"/>
          </w:tcPr>
          <w:p>
            <w:pPr>
              <w:ind w:left="102" w:right="52"/>
              <w:spacing w:before="69" w:line="219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42"/>
              </w:rPr>
              <w:t>4.提交了与</w:t>
            </w:r>
            <w:r>
              <w:rPr>
                <w:rFonts w:ascii="SimSun" w:hAnsi="SimSun" w:eastAsia="SimSun" w:cs="SimSun"/>
                <w:sz w:val="28"/>
                <w:szCs w:val="28"/>
              </w:rPr>
              <w:t>XML</w:t>
            </w:r>
            <w:r>
              <w:rPr>
                <w:rFonts w:ascii="SimSun" w:hAnsi="SimSun" w:eastAsia="SimSun" w:cs="SimSun"/>
                <w:sz w:val="28"/>
                <w:szCs w:val="28"/>
                <w:spacing w:val="42"/>
              </w:rPr>
              <w:t>文档一致的</w:t>
            </w:r>
            <w:r>
              <w:rPr>
                <w:rFonts w:ascii="SimSun" w:hAnsi="SimSun" w:eastAsia="SimSun" w:cs="SimSun"/>
                <w:sz w:val="28"/>
                <w:szCs w:val="28"/>
              </w:rPr>
              <w:t>PDF</w:t>
            </w:r>
            <w:r>
              <w:rPr>
                <w:rFonts w:ascii="SimSun" w:hAnsi="SimSun" w:eastAsia="SimSun" w:cs="SimSun"/>
                <w:sz w:val="28"/>
                <w:szCs w:val="28"/>
                <w:spacing w:val="42"/>
              </w:rPr>
              <w:t>格式预审申</w:t>
            </w:r>
            <w:r>
              <w:rPr>
                <w:rFonts w:ascii="SimSun" w:hAnsi="SimSun" w:eastAsia="SimSun" w:cs="SimSun"/>
                <w:sz w:val="28"/>
                <w:szCs w:val="28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8"/>
                <w:szCs w:val="28"/>
                <w:spacing w:val="34"/>
              </w:rPr>
              <w:t>请材料。</w:t>
            </w:r>
          </w:p>
        </w:tc>
        <w:tc>
          <w:tcPr>
            <w:tcW w:w="13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7"/>
          <w:pgSz w:w="11910" w:h="16840"/>
          <w:pgMar w:top="1431" w:right="1355" w:bottom="1154" w:left="1475" w:header="0" w:footer="865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80" w:lineRule="exact"/>
        <w:rPr/>
      </w:pPr>
      <w:r/>
    </w:p>
    <w:tbl>
      <w:tblPr>
        <w:tblStyle w:val="2"/>
        <w:tblW w:w="904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803"/>
        <w:gridCol w:w="5863"/>
        <w:gridCol w:w="1383"/>
      </w:tblGrid>
      <w:tr>
        <w:trPr>
          <w:trHeight w:val="1244" w:hRule="atLeast"/>
        </w:trPr>
        <w:tc>
          <w:tcPr>
            <w:tcW w:w="1803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ind w:left="474" w:right="116" w:hanging="350"/>
              <w:spacing w:before="91" w:line="236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1"/>
              </w:rPr>
              <w:t>发明/实用新</w:t>
            </w:r>
            <w:r>
              <w:rPr>
                <w:rFonts w:ascii="SimSun" w:hAnsi="SimSun" w:eastAsia="SimSun" w:cs="SimSun"/>
                <w:sz w:val="28"/>
                <w:szCs w:val="28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8"/>
                <w:szCs w:val="28"/>
                <w:spacing w:val="6"/>
              </w:rPr>
              <w:t>型专利</w:t>
            </w:r>
          </w:p>
          <w:p>
            <w:pPr>
              <w:ind w:left="474"/>
              <w:spacing w:before="13" w:line="219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6"/>
              </w:rPr>
              <w:t>请求书</w:t>
            </w:r>
          </w:p>
        </w:tc>
        <w:tc>
          <w:tcPr>
            <w:tcW w:w="5863" w:type="dxa"/>
            <w:vAlign w:val="top"/>
          </w:tcPr>
          <w:p>
            <w:pPr>
              <w:ind w:left="111"/>
              <w:spacing w:before="126" w:line="244" w:lineRule="auto"/>
              <w:jc w:val="both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9"/>
              </w:rPr>
              <w:t>1.发明/实用新型名称与其他申请文件的发明名</w:t>
            </w:r>
            <w:r>
              <w:rPr>
                <w:rFonts w:ascii="SimSun" w:hAnsi="SimSun" w:eastAsia="SimSun" w:cs="SimSun"/>
                <w:sz w:val="27"/>
                <w:szCs w:val="27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10"/>
              </w:rPr>
              <w:t>称(包括角标格式)一致；发明名称不应超过25</w:t>
            </w:r>
            <w:r>
              <w:rPr>
                <w:rFonts w:ascii="SimSun" w:hAnsi="SimSun" w:eastAsia="SimSun" w:cs="SimSun"/>
                <w:sz w:val="27"/>
                <w:szCs w:val="27"/>
                <w:spacing w:val="1"/>
              </w:rPr>
              <w:t xml:space="preserve">  </w:t>
            </w:r>
            <w:r>
              <w:rPr>
                <w:rFonts w:ascii="SimSun" w:hAnsi="SimSun" w:eastAsia="SimSun" w:cs="SimSun"/>
                <w:sz w:val="27"/>
                <w:szCs w:val="27"/>
                <w:spacing w:val="25"/>
              </w:rPr>
              <w:t>个字(化学领域特殊名称最多40个字)。</w:t>
            </w:r>
          </w:p>
        </w:tc>
        <w:tc>
          <w:tcPr>
            <w:tcW w:w="138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259" w:hRule="atLeast"/>
        </w:trPr>
        <w:tc>
          <w:tcPr>
            <w:tcW w:w="180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63" w:type="dxa"/>
            <w:vAlign w:val="top"/>
          </w:tcPr>
          <w:p>
            <w:pPr>
              <w:ind w:left="111"/>
              <w:spacing w:before="171" w:line="242" w:lineRule="auto"/>
              <w:jc w:val="both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3"/>
              </w:rPr>
              <w:t>2.发明人姓名、第一发明人国籍、居民身份证件</w:t>
            </w:r>
            <w:r>
              <w:rPr>
                <w:rFonts w:ascii="SimSun" w:hAnsi="SimSun" w:eastAsia="SimSun" w:cs="SimSun"/>
                <w:sz w:val="27"/>
                <w:szCs w:val="27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18"/>
              </w:rPr>
              <w:t>号码准确(第一发明人为外籍或中国港澳台地</w:t>
            </w:r>
            <w:r>
              <w:rPr>
                <w:rFonts w:ascii="SimSun" w:hAnsi="SimSun" w:eastAsia="SimSun" w:cs="SimSun"/>
                <w:sz w:val="27"/>
                <w:szCs w:val="27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17"/>
              </w:rPr>
              <w:t>区，可不填写居民身份证件号码)。</w:t>
            </w:r>
          </w:p>
        </w:tc>
        <w:tc>
          <w:tcPr>
            <w:tcW w:w="138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89" w:hRule="atLeast"/>
        </w:trPr>
        <w:tc>
          <w:tcPr>
            <w:tcW w:w="180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63" w:type="dxa"/>
            <w:vAlign w:val="top"/>
          </w:tcPr>
          <w:p>
            <w:pPr>
              <w:ind w:left="111"/>
              <w:spacing w:before="143" w:line="243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3"/>
              </w:rPr>
              <w:t>3.所有申请人名称、统一社会信用代码准确，地</w:t>
            </w:r>
            <w:r>
              <w:rPr>
                <w:rFonts w:ascii="SimSun" w:hAnsi="SimSun" w:eastAsia="SimSun" w:cs="SimSun"/>
                <w:sz w:val="27"/>
                <w:szCs w:val="27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24"/>
              </w:rPr>
              <w:t>址与邮政编码对应。</w:t>
            </w:r>
          </w:p>
        </w:tc>
        <w:tc>
          <w:tcPr>
            <w:tcW w:w="138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798" w:hRule="atLeast"/>
        </w:trPr>
        <w:tc>
          <w:tcPr>
            <w:tcW w:w="180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63" w:type="dxa"/>
            <w:vAlign w:val="top"/>
          </w:tcPr>
          <w:p>
            <w:pPr>
              <w:ind w:left="111"/>
              <w:spacing w:before="196" w:line="246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3"/>
              </w:rPr>
              <w:t>4.申请人委托专利代理机构的，准确填写专利代</w:t>
            </w:r>
            <w:r>
              <w:rPr>
                <w:rFonts w:ascii="SimSun" w:hAnsi="SimSun" w:eastAsia="SimSun" w:cs="SimSun"/>
                <w:sz w:val="27"/>
                <w:szCs w:val="27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11"/>
              </w:rPr>
              <w:t>理机构名称、机构代码、代理人姓名、执业证</w:t>
            </w:r>
            <w:r>
              <w:rPr>
                <w:rFonts w:ascii="SimSun" w:hAnsi="SimSun" w:eastAsia="SimSun" w:cs="SimSun"/>
                <w:sz w:val="27"/>
                <w:szCs w:val="27"/>
                <w:spacing w:val="18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9"/>
              </w:rPr>
              <w:t>号、电话号码，并勾选“声明已经与申请人签</w:t>
            </w:r>
            <w:r>
              <w:rPr>
                <w:rFonts w:ascii="SimSun" w:hAnsi="SimSun" w:eastAsia="SimSun" w:cs="SimSun"/>
                <w:sz w:val="27"/>
                <w:szCs w:val="27"/>
                <w:spacing w:val="9"/>
              </w:rPr>
              <w:t xml:space="preserve">  </w:t>
            </w:r>
            <w:r>
              <w:rPr>
                <w:rFonts w:ascii="SimSun" w:hAnsi="SimSun" w:eastAsia="SimSun" w:cs="SimSun"/>
                <w:sz w:val="27"/>
                <w:szCs w:val="27"/>
                <w:spacing w:val="12"/>
              </w:rPr>
              <w:t>订了专利代理委托书且本表中的信息与委托书</w:t>
            </w:r>
            <w:r>
              <w:rPr>
                <w:rFonts w:ascii="SimSun" w:hAnsi="SimSun" w:eastAsia="SimSun" w:cs="SimSun"/>
                <w:sz w:val="27"/>
                <w:szCs w:val="27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18"/>
              </w:rPr>
              <w:t>中相应信息一致”;申请人未委托专利代理机</w:t>
            </w:r>
            <w:r>
              <w:rPr>
                <w:rFonts w:ascii="SimSun" w:hAnsi="SimSun" w:eastAsia="SimSun" w:cs="SimSun"/>
                <w:sz w:val="27"/>
                <w:szCs w:val="27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21"/>
              </w:rPr>
              <w:t>构的，准确填写联系人(申请单位工作人员)</w:t>
            </w:r>
            <w:r>
              <w:rPr>
                <w:rFonts w:ascii="SimSun" w:hAnsi="SimSun" w:eastAsia="SimSun" w:cs="SimSun"/>
                <w:sz w:val="27"/>
                <w:szCs w:val="27"/>
                <w:spacing w:val="8"/>
              </w:rPr>
              <w:t xml:space="preserve">  </w:t>
            </w:r>
            <w:r>
              <w:rPr>
                <w:rFonts w:ascii="SimSun" w:hAnsi="SimSun" w:eastAsia="SimSun" w:cs="SimSun"/>
                <w:sz w:val="27"/>
                <w:szCs w:val="27"/>
                <w:spacing w:val="19"/>
              </w:rPr>
              <w:t>姓名、通信地址和电话号码。</w:t>
            </w:r>
          </w:p>
        </w:tc>
        <w:tc>
          <w:tcPr>
            <w:tcW w:w="138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9" w:hRule="atLeast"/>
        </w:trPr>
        <w:tc>
          <w:tcPr>
            <w:tcW w:w="180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63" w:type="dxa"/>
            <w:vAlign w:val="top"/>
          </w:tcPr>
          <w:p>
            <w:pPr>
              <w:ind w:left="111"/>
              <w:spacing w:before="146" w:line="236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3"/>
              </w:rPr>
              <w:t>5.已勾选请求早日公布该专利申请、请求实质审</w:t>
            </w:r>
            <w:r>
              <w:rPr>
                <w:rFonts w:ascii="SimSun" w:hAnsi="SimSun" w:eastAsia="SimSun" w:cs="SimSun"/>
                <w:sz w:val="27"/>
                <w:szCs w:val="27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33"/>
              </w:rPr>
              <w:t>查(仅限发明专利)。</w:t>
            </w:r>
          </w:p>
        </w:tc>
        <w:tc>
          <w:tcPr>
            <w:tcW w:w="138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99" w:hRule="atLeast"/>
        </w:trPr>
        <w:tc>
          <w:tcPr>
            <w:tcW w:w="180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63" w:type="dxa"/>
            <w:vAlign w:val="top"/>
          </w:tcPr>
          <w:p>
            <w:pPr>
              <w:ind w:left="102" w:firstLine="9"/>
              <w:spacing w:before="76" w:line="233" w:lineRule="auto"/>
              <w:jc w:val="both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9"/>
              </w:rPr>
              <w:t>6.说明书有附图的，指定一幅最能说明该发明/</w:t>
            </w:r>
            <w:r>
              <w:rPr>
                <w:rFonts w:ascii="SimSun" w:hAnsi="SimSun" w:eastAsia="SimSun" w:cs="SimSun"/>
                <w:sz w:val="27"/>
                <w:szCs w:val="27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12"/>
              </w:rPr>
              <w:t>实用新型技术方案主要特征的附图作为摘要附</w:t>
            </w:r>
            <w:r>
              <w:rPr>
                <w:rFonts w:ascii="SimSun" w:hAnsi="SimSun" w:eastAsia="SimSun" w:cs="SimSun"/>
                <w:sz w:val="27"/>
                <w:szCs w:val="27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-10"/>
              </w:rPr>
              <w:t>图</w:t>
            </w:r>
            <w:r>
              <w:rPr>
                <w:rFonts w:ascii="SimSun" w:hAnsi="SimSun" w:eastAsia="SimSun" w:cs="SimSun"/>
                <w:sz w:val="27"/>
                <w:szCs w:val="27"/>
                <w:spacing w:val="85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-10"/>
              </w:rPr>
              <w:t>。</w:t>
            </w:r>
          </w:p>
        </w:tc>
        <w:tc>
          <w:tcPr>
            <w:tcW w:w="138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90" w:hRule="atLeast"/>
        </w:trPr>
        <w:tc>
          <w:tcPr>
            <w:tcW w:w="180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63" w:type="dxa"/>
            <w:vAlign w:val="top"/>
          </w:tcPr>
          <w:p>
            <w:pPr>
              <w:ind w:left="111"/>
              <w:spacing w:before="118" w:line="219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9"/>
              </w:rPr>
              <w:t>7.已勾选放弃主动修改的权利。</w:t>
            </w:r>
          </w:p>
        </w:tc>
        <w:tc>
          <w:tcPr>
            <w:tcW w:w="138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229" w:hRule="atLeast"/>
        </w:trPr>
        <w:tc>
          <w:tcPr>
            <w:tcW w:w="180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63" w:type="dxa"/>
            <w:vAlign w:val="top"/>
          </w:tcPr>
          <w:p>
            <w:pPr>
              <w:ind w:left="111"/>
              <w:spacing w:before="148" w:line="244" w:lineRule="auto"/>
              <w:jc w:val="both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7"/>
              </w:rPr>
              <w:t>8.</w:t>
            </w:r>
            <w:r>
              <w:rPr>
                <w:rFonts w:ascii="SimSun" w:hAnsi="SimSun" w:eastAsia="SimSun" w:cs="SimSun"/>
                <w:sz w:val="27"/>
                <w:szCs w:val="27"/>
                <w:spacing w:val="-72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7"/>
              </w:rPr>
              <w:t>申请不属于</w:t>
            </w:r>
            <w:r>
              <w:rPr>
                <w:rFonts w:ascii="SimSun" w:hAnsi="SimSun" w:eastAsia="SimSun" w:cs="SimSun"/>
                <w:sz w:val="27"/>
                <w:szCs w:val="27"/>
              </w:rPr>
              <w:t>PCT</w:t>
            </w:r>
            <w:r>
              <w:rPr>
                <w:rFonts w:ascii="SimSun" w:hAnsi="SimSun" w:eastAsia="SimSun" w:cs="SimSun"/>
                <w:sz w:val="27"/>
                <w:szCs w:val="27"/>
                <w:spacing w:val="7"/>
              </w:rPr>
              <w:t>申请、同日申请、分案申请、</w:t>
            </w:r>
            <w:r>
              <w:rPr>
                <w:rFonts w:ascii="SimSun" w:hAnsi="SimSun" w:eastAsia="SimSun" w:cs="SimSun"/>
                <w:sz w:val="27"/>
                <w:szCs w:val="27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6"/>
              </w:rPr>
              <w:t>根据《专利法实施细则》第七条所规定的需要</w:t>
            </w:r>
            <w:r>
              <w:rPr>
                <w:rFonts w:ascii="SimSun" w:hAnsi="SimSun" w:eastAsia="SimSun" w:cs="SimSun"/>
                <w:sz w:val="27"/>
                <w:szCs w:val="27"/>
              </w:rPr>
              <w:t xml:space="preserve">  </w:t>
            </w:r>
            <w:r>
              <w:rPr>
                <w:rFonts w:ascii="SimSun" w:hAnsi="SimSun" w:eastAsia="SimSun" w:cs="SimSun"/>
                <w:sz w:val="27"/>
                <w:szCs w:val="27"/>
                <w:spacing w:val="16"/>
              </w:rPr>
              <w:t>进行保密审查的申请。</w:t>
            </w:r>
          </w:p>
        </w:tc>
        <w:tc>
          <w:tcPr>
            <w:tcW w:w="138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19" w:hRule="atLeast"/>
        </w:trPr>
        <w:tc>
          <w:tcPr>
            <w:tcW w:w="180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63" w:type="dxa"/>
            <w:vAlign w:val="top"/>
          </w:tcPr>
          <w:p>
            <w:pPr>
              <w:ind w:left="111" w:right="86"/>
              <w:spacing w:before="238" w:line="226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2"/>
              </w:rPr>
              <w:t>9.全体申请人或专利代理人签字或盖章正确有</w:t>
            </w:r>
            <w:r>
              <w:rPr>
                <w:rFonts w:ascii="SimSun" w:hAnsi="SimSun" w:eastAsia="SimSun" w:cs="SimSun"/>
                <w:sz w:val="28"/>
                <w:szCs w:val="28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8"/>
                <w:szCs w:val="28"/>
                <w:spacing w:val="20"/>
              </w:rPr>
              <w:t>效、清晰无误。</w:t>
            </w:r>
          </w:p>
        </w:tc>
        <w:tc>
          <w:tcPr>
            <w:tcW w:w="138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384" w:hRule="atLeast"/>
        </w:trPr>
        <w:tc>
          <w:tcPr>
            <w:tcW w:w="1803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63" w:type="dxa"/>
            <w:vAlign w:val="top"/>
          </w:tcPr>
          <w:p>
            <w:pPr>
              <w:ind w:left="111" w:right="76"/>
              <w:spacing w:before="216" w:line="241" w:lineRule="auto"/>
              <w:jc w:val="both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15"/>
              </w:rPr>
              <w:t>10.总委托书备案编号无误(如有),如填写总</w:t>
            </w:r>
            <w:r>
              <w:rPr>
                <w:rFonts w:ascii="SimSun" w:hAnsi="SimSun" w:eastAsia="SimSun" w:cs="SimSun"/>
                <w:sz w:val="28"/>
                <w:szCs w:val="28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8"/>
                <w:szCs w:val="28"/>
                <w:spacing w:val="2"/>
              </w:rPr>
              <w:t>委托书备案编号，需要在预审系统其它文件中</w:t>
            </w:r>
            <w:r>
              <w:rPr>
                <w:rFonts w:ascii="SimSun" w:hAnsi="SimSun" w:eastAsia="SimSun" w:cs="SimSun"/>
                <w:sz w:val="28"/>
                <w:szCs w:val="28"/>
              </w:rPr>
              <w:t xml:space="preserve"> </w:t>
            </w:r>
            <w:r>
              <w:rPr>
                <w:rFonts w:ascii="SimSun" w:hAnsi="SimSun" w:eastAsia="SimSun" w:cs="SimSun"/>
                <w:sz w:val="28"/>
                <w:szCs w:val="28"/>
                <w:spacing w:val="7"/>
              </w:rPr>
              <w:t>提交备案回执图片或其他相关证明文件。</w:t>
            </w:r>
          </w:p>
        </w:tc>
        <w:tc>
          <w:tcPr>
            <w:tcW w:w="138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8"/>
          <w:pgSz w:w="11910" w:h="16840"/>
          <w:pgMar w:top="1431" w:right="1385" w:bottom="1150" w:left="1465" w:header="0" w:footer="881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80" w:lineRule="exact"/>
        <w:rPr/>
      </w:pPr>
      <w:r/>
    </w:p>
    <w:tbl>
      <w:tblPr>
        <w:tblStyle w:val="2"/>
        <w:tblW w:w="905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783"/>
        <w:gridCol w:w="5883"/>
        <w:gridCol w:w="1384"/>
      </w:tblGrid>
      <w:tr>
        <w:trPr>
          <w:trHeight w:val="455" w:hRule="atLeast"/>
        </w:trPr>
        <w:tc>
          <w:tcPr>
            <w:tcW w:w="1783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ind w:left="465" w:right="318" w:hanging="140"/>
              <w:spacing w:before="91" w:line="228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2"/>
              </w:rPr>
              <w:t>专利代理</w:t>
            </w:r>
            <w:r>
              <w:rPr>
                <w:rFonts w:ascii="SimSun" w:hAnsi="SimSun" w:eastAsia="SimSun" w:cs="SimSun"/>
                <w:sz w:val="28"/>
                <w:szCs w:val="28"/>
              </w:rPr>
              <w:t xml:space="preserve"> </w:t>
            </w:r>
            <w:r>
              <w:rPr>
                <w:rFonts w:ascii="SimSun" w:hAnsi="SimSun" w:eastAsia="SimSun" w:cs="SimSun"/>
                <w:sz w:val="28"/>
                <w:szCs w:val="28"/>
                <w:spacing w:val="6"/>
              </w:rPr>
              <w:t>委托书</w:t>
            </w:r>
          </w:p>
        </w:tc>
        <w:tc>
          <w:tcPr>
            <w:tcW w:w="5883" w:type="dxa"/>
            <w:vAlign w:val="top"/>
          </w:tcPr>
          <w:p>
            <w:pPr>
              <w:ind w:left="112"/>
              <w:spacing w:before="96" w:line="219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7"/>
              </w:rPr>
              <w:t>1.多个委托人时，委托人应分行填写。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49" w:hRule="atLeast"/>
        </w:trPr>
        <w:tc>
          <w:tcPr>
            <w:tcW w:w="178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83" w:type="dxa"/>
            <w:vAlign w:val="top"/>
          </w:tcPr>
          <w:p>
            <w:pPr>
              <w:ind w:left="112" w:right="65"/>
              <w:spacing w:before="40" w:line="208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14"/>
              </w:rPr>
              <w:t>2.电子形式委托书填写的委托信息应与扫描文</w:t>
            </w:r>
            <w:r>
              <w:rPr>
                <w:rFonts w:ascii="SimSun" w:hAnsi="SimSun" w:eastAsia="SimSun" w:cs="SimSun"/>
                <w:sz w:val="27"/>
                <w:szCs w:val="27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20"/>
              </w:rPr>
              <w:t>件一致，并勾选一致性声明。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289" w:hRule="atLeast"/>
        </w:trPr>
        <w:tc>
          <w:tcPr>
            <w:tcW w:w="1783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83" w:type="dxa"/>
            <w:vAlign w:val="top"/>
          </w:tcPr>
          <w:p>
            <w:pPr>
              <w:ind w:left="112"/>
              <w:spacing w:before="42" w:line="213" w:lineRule="auto"/>
              <w:jc w:val="both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6"/>
              </w:rPr>
              <w:t>3.申请人委托专利代理机构的，应当提交委托</w:t>
            </w:r>
            <w:r>
              <w:rPr>
                <w:rFonts w:ascii="SimSun" w:hAnsi="SimSun" w:eastAsia="SimSun" w:cs="SimSun"/>
                <w:sz w:val="27"/>
                <w:szCs w:val="27"/>
                <w:spacing w:val="5"/>
              </w:rPr>
              <w:t xml:space="preserve">  </w:t>
            </w:r>
            <w:r>
              <w:rPr>
                <w:rFonts w:ascii="SimSun" w:hAnsi="SimSun" w:eastAsia="SimSun" w:cs="SimSun"/>
                <w:sz w:val="27"/>
                <w:szCs w:val="27"/>
                <w:spacing w:val="4"/>
              </w:rPr>
              <w:t>书。委托书应当写明委托权限、发明创造名称、</w:t>
            </w:r>
            <w:r>
              <w:rPr>
                <w:rFonts w:ascii="SimSun" w:hAnsi="SimSun" w:eastAsia="SimSun" w:cs="SimSun"/>
                <w:sz w:val="27"/>
                <w:szCs w:val="27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6"/>
              </w:rPr>
              <w:t>专利代理机构名称、专利代理人姓名，并应当</w:t>
            </w:r>
            <w:r>
              <w:rPr>
                <w:rFonts w:ascii="SimSun" w:hAnsi="SimSun" w:eastAsia="SimSun" w:cs="SimSun"/>
                <w:sz w:val="27"/>
                <w:szCs w:val="27"/>
                <w:spacing w:val="1"/>
              </w:rPr>
              <w:t xml:space="preserve">  </w:t>
            </w:r>
            <w:r>
              <w:rPr>
                <w:rFonts w:ascii="SimSun" w:hAnsi="SimSun" w:eastAsia="SimSun" w:cs="SimSun"/>
                <w:sz w:val="27"/>
                <w:szCs w:val="27"/>
                <w:spacing w:val="14"/>
              </w:rPr>
              <w:t>与请求书中填写的内容相一致。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0" w:hRule="atLeast"/>
        </w:trPr>
        <w:tc>
          <w:tcPr>
            <w:tcW w:w="1783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325"/>
              <w:spacing w:before="293" w:line="219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5"/>
              </w:rPr>
              <w:t>发明专利</w:t>
            </w:r>
          </w:p>
          <w:p>
            <w:pPr>
              <w:ind w:left="185"/>
              <w:spacing w:before="58" w:line="216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2"/>
              </w:rPr>
              <w:t>实质审查请</w:t>
            </w:r>
          </w:p>
          <w:p>
            <w:pPr>
              <w:ind w:left="605"/>
              <w:spacing w:line="218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9"/>
              </w:rPr>
              <w:t>求书</w:t>
            </w:r>
          </w:p>
        </w:tc>
        <w:tc>
          <w:tcPr>
            <w:tcW w:w="5883" w:type="dxa"/>
            <w:vAlign w:val="top"/>
          </w:tcPr>
          <w:p>
            <w:pPr>
              <w:ind w:left="112"/>
              <w:spacing w:before="93" w:line="219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8"/>
              </w:rPr>
              <w:t>1.发明创造名称与其他申请文件保持一致。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178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83" w:type="dxa"/>
            <w:vAlign w:val="top"/>
          </w:tcPr>
          <w:p>
            <w:pPr>
              <w:ind w:left="112" w:right="107"/>
              <w:spacing w:before="44" w:line="200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12"/>
              </w:rPr>
              <w:t>2.准确填写第一申请人名称且与发明专利请求</w:t>
            </w:r>
            <w:r>
              <w:rPr>
                <w:rFonts w:ascii="SimSun" w:hAnsi="SimSun" w:eastAsia="SimSun" w:cs="SimSun"/>
                <w:sz w:val="27"/>
                <w:szCs w:val="27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12"/>
              </w:rPr>
              <w:t>书中</w:t>
            </w:r>
            <w:r>
              <w:rPr>
                <w:rFonts w:ascii="SimSun" w:hAnsi="SimSun" w:eastAsia="SimSun" w:cs="SimSun"/>
                <w:sz w:val="27"/>
                <w:szCs w:val="27"/>
                <w:spacing w:val="-71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12"/>
              </w:rPr>
              <w:t>一</w:t>
            </w:r>
            <w:r>
              <w:rPr>
                <w:rFonts w:ascii="SimSun" w:hAnsi="SimSun" w:eastAsia="SimSun" w:cs="SimSun"/>
                <w:sz w:val="27"/>
                <w:szCs w:val="27"/>
                <w:spacing w:val="-75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12"/>
              </w:rPr>
              <w:t>致。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80" w:hRule="atLeast"/>
        </w:trPr>
        <w:tc>
          <w:tcPr>
            <w:tcW w:w="1783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83" w:type="dxa"/>
            <w:vAlign w:val="top"/>
          </w:tcPr>
          <w:p>
            <w:pPr>
              <w:ind w:left="112"/>
              <w:spacing w:before="104" w:line="219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8"/>
              </w:rPr>
              <w:t>3.已勾选“放弃主动修改权利”。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0" w:hRule="atLeast"/>
        </w:trPr>
        <w:tc>
          <w:tcPr>
            <w:tcW w:w="1783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ind w:left="185"/>
              <w:spacing w:before="91" w:line="219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3"/>
              </w:rPr>
              <w:t>权利要求书</w:t>
            </w:r>
          </w:p>
        </w:tc>
        <w:tc>
          <w:tcPr>
            <w:tcW w:w="5883" w:type="dxa"/>
            <w:vAlign w:val="top"/>
          </w:tcPr>
          <w:p>
            <w:pPr>
              <w:ind w:left="112"/>
              <w:spacing w:before="45" w:line="200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4"/>
              </w:rPr>
              <w:t>1.主题名称清楚正确，且同一组权利要求主题名</w:t>
            </w:r>
            <w:r>
              <w:rPr>
                <w:rFonts w:ascii="SimSun" w:hAnsi="SimSun" w:eastAsia="SimSun" w:cs="SimSun"/>
                <w:sz w:val="27"/>
                <w:szCs w:val="27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42"/>
              </w:rPr>
              <w:t>称一致。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178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83" w:type="dxa"/>
            <w:vAlign w:val="top"/>
          </w:tcPr>
          <w:p>
            <w:pPr>
              <w:ind w:left="112"/>
              <w:spacing w:before="84" w:line="219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7"/>
              </w:rPr>
              <w:t>2.一项权利要求只在结尾处出现句号。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59" w:hRule="atLeast"/>
        </w:trPr>
        <w:tc>
          <w:tcPr>
            <w:tcW w:w="178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83" w:type="dxa"/>
            <w:vAlign w:val="top"/>
          </w:tcPr>
          <w:p>
            <w:pPr>
              <w:ind w:left="112"/>
              <w:spacing w:before="55" w:line="206" w:lineRule="auto"/>
              <w:jc w:val="both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4"/>
              </w:rPr>
              <w:t>3.不含流程图、方框图、曲线图、相图等插图；</w:t>
            </w:r>
            <w:r>
              <w:rPr>
                <w:rFonts w:ascii="SimSun" w:hAnsi="SimSun" w:eastAsia="SimSun" w:cs="SimSun"/>
                <w:sz w:val="27"/>
                <w:szCs w:val="27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4"/>
              </w:rPr>
              <w:t>如含化学式或数学式应当清晰，列明相关参数</w:t>
            </w:r>
            <w:r>
              <w:rPr>
                <w:rFonts w:ascii="SimSun" w:hAnsi="SimSun" w:eastAsia="SimSun" w:cs="SimSun"/>
                <w:sz w:val="27"/>
                <w:szCs w:val="27"/>
                <w:spacing w:val="6"/>
              </w:rPr>
              <w:t xml:space="preserve">   </w:t>
            </w:r>
            <w:r>
              <w:rPr>
                <w:rFonts w:ascii="SimSun" w:hAnsi="SimSun" w:eastAsia="SimSun" w:cs="SimSun"/>
                <w:sz w:val="27"/>
                <w:szCs w:val="27"/>
                <w:spacing w:val="-6"/>
              </w:rPr>
              <w:t>含</w:t>
            </w:r>
            <w:r>
              <w:rPr>
                <w:rFonts w:ascii="SimSun" w:hAnsi="SimSun" w:eastAsia="SimSun" w:cs="SimSun"/>
                <w:sz w:val="27"/>
                <w:szCs w:val="27"/>
                <w:spacing w:val="-28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-6"/>
              </w:rPr>
              <w:t>义</w:t>
            </w:r>
            <w:r>
              <w:rPr>
                <w:rFonts w:ascii="SimSun" w:hAnsi="SimSun" w:eastAsia="SimSun" w:cs="SimSun"/>
                <w:sz w:val="27"/>
                <w:szCs w:val="27"/>
                <w:spacing w:val="-41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-6"/>
              </w:rPr>
              <w:t>。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59" w:hRule="atLeast"/>
        </w:trPr>
        <w:tc>
          <w:tcPr>
            <w:tcW w:w="178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83" w:type="dxa"/>
            <w:vAlign w:val="top"/>
          </w:tcPr>
          <w:p>
            <w:pPr>
              <w:ind w:left="112" w:right="87"/>
              <w:spacing w:before="55" w:line="206" w:lineRule="auto"/>
              <w:jc w:val="both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13"/>
              </w:rPr>
              <w:t>4.独立权利要求应当从整体上反映发明或实用</w:t>
            </w:r>
            <w:r>
              <w:rPr>
                <w:rFonts w:ascii="SimSun" w:hAnsi="SimSun" w:eastAsia="SimSun" w:cs="SimSun"/>
                <w:sz w:val="27"/>
                <w:szCs w:val="27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12"/>
              </w:rPr>
              <w:t>新型的技术方案，记载解决技术问题的必要技</w:t>
            </w:r>
            <w:r>
              <w:rPr>
                <w:rFonts w:ascii="SimSun" w:hAnsi="SimSun" w:eastAsia="SimSun" w:cs="SimSun"/>
                <w:sz w:val="27"/>
                <w:szCs w:val="27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36"/>
              </w:rPr>
              <w:t>术特征</w:t>
            </w:r>
            <w:r>
              <w:rPr>
                <w:rFonts w:ascii="SimSun" w:hAnsi="SimSun" w:eastAsia="SimSun" w:cs="SimSun"/>
                <w:sz w:val="27"/>
                <w:szCs w:val="27"/>
                <w:spacing w:val="-68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36"/>
              </w:rPr>
              <w:t>。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49" w:hRule="atLeast"/>
        </w:trPr>
        <w:tc>
          <w:tcPr>
            <w:tcW w:w="178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83" w:type="dxa"/>
            <w:vAlign w:val="top"/>
          </w:tcPr>
          <w:p>
            <w:pPr>
              <w:ind w:left="112"/>
              <w:spacing w:before="66" w:line="199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4"/>
              </w:rPr>
              <w:t>5.从属权利要求应当包括引用部分和限定部分，</w:t>
            </w:r>
            <w:r>
              <w:rPr>
                <w:rFonts w:ascii="SimSun" w:hAnsi="SimSun" w:eastAsia="SimSun" w:cs="SimSun"/>
                <w:sz w:val="27"/>
                <w:szCs w:val="27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14"/>
              </w:rPr>
              <w:t>只能引用在前的权利要求。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0" w:hRule="atLeast"/>
        </w:trPr>
        <w:tc>
          <w:tcPr>
            <w:tcW w:w="178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83" w:type="dxa"/>
            <w:vAlign w:val="top"/>
          </w:tcPr>
          <w:p>
            <w:pPr>
              <w:ind w:left="112"/>
              <w:spacing w:before="47" w:line="206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4"/>
              </w:rPr>
              <w:t>6.权利要求不存在非择一引用、多引多等引用关</w:t>
            </w:r>
            <w:r>
              <w:rPr>
                <w:rFonts w:ascii="SimSun" w:hAnsi="SimSun" w:eastAsia="SimSun" w:cs="SimSun"/>
                <w:sz w:val="27"/>
                <w:szCs w:val="27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-4"/>
              </w:rPr>
              <w:t>系</w:t>
            </w:r>
            <w:r>
              <w:rPr>
                <w:rFonts w:ascii="SimSun" w:hAnsi="SimSun" w:eastAsia="SimSun" w:cs="SimSun"/>
                <w:sz w:val="27"/>
                <w:szCs w:val="27"/>
                <w:spacing w:val="63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-4"/>
              </w:rPr>
              <w:t>。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49" w:hRule="atLeast"/>
        </w:trPr>
        <w:tc>
          <w:tcPr>
            <w:tcW w:w="178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83" w:type="dxa"/>
            <w:vAlign w:val="top"/>
          </w:tcPr>
          <w:p>
            <w:pPr>
              <w:ind w:left="112" w:right="72"/>
              <w:spacing w:before="45" w:line="206" w:lineRule="auto"/>
              <w:jc w:val="both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13"/>
              </w:rPr>
              <w:t>7.权利要求中进一步限定技术特征应有在先引</w:t>
            </w:r>
            <w:r>
              <w:rPr>
                <w:rFonts w:ascii="SimSun" w:hAnsi="SimSun" w:eastAsia="SimSun" w:cs="SimSun"/>
                <w:sz w:val="27"/>
                <w:szCs w:val="27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29"/>
              </w:rPr>
              <w:t>用基础，即特征“所述</w:t>
            </w:r>
            <w:r>
              <w:rPr>
                <w:rFonts w:ascii="SimSun" w:hAnsi="SimSun" w:eastAsia="SimSun" w:cs="SimSun"/>
                <w:sz w:val="27"/>
                <w:szCs w:val="27"/>
              </w:rPr>
              <w:t>XXX</w:t>
            </w:r>
            <w:r>
              <w:rPr>
                <w:rFonts w:ascii="SimSun" w:hAnsi="SimSun" w:eastAsia="SimSun" w:cs="SimSun"/>
                <w:sz w:val="27"/>
                <w:szCs w:val="27"/>
                <w:spacing w:val="29"/>
              </w:rPr>
              <w:t>”,在其引用路径</w:t>
            </w:r>
            <w:r>
              <w:rPr>
                <w:rFonts w:ascii="SimSun" w:hAnsi="SimSun" w:eastAsia="SimSun" w:cs="SimSun"/>
                <w:sz w:val="27"/>
                <w:szCs w:val="27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28"/>
              </w:rPr>
              <w:t>上应包括特征“</w:t>
            </w:r>
            <w:r>
              <w:rPr>
                <w:rFonts w:ascii="SimSun" w:hAnsi="SimSun" w:eastAsia="SimSun" w:cs="SimSun"/>
                <w:sz w:val="27"/>
                <w:szCs w:val="27"/>
              </w:rPr>
              <w:t>XXX</w:t>
            </w:r>
            <w:r>
              <w:rPr>
                <w:rFonts w:ascii="SimSun" w:hAnsi="SimSun" w:eastAsia="SimSun" w:cs="SimSun"/>
                <w:sz w:val="27"/>
                <w:szCs w:val="27"/>
                <w:spacing w:val="28"/>
              </w:rPr>
              <w:t>”。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60" w:hRule="atLeast"/>
        </w:trPr>
        <w:tc>
          <w:tcPr>
            <w:tcW w:w="178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83" w:type="dxa"/>
            <w:vAlign w:val="top"/>
          </w:tcPr>
          <w:p>
            <w:pPr>
              <w:ind w:left="112"/>
              <w:spacing w:before="77" w:line="199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-21"/>
              </w:rPr>
              <w:t>8.权利要求无“优选”、</w:t>
            </w:r>
            <w:r>
              <w:rPr>
                <w:rFonts w:ascii="SimSun" w:hAnsi="SimSun" w:eastAsia="SimSun" w:cs="SimSun"/>
                <w:sz w:val="27"/>
                <w:szCs w:val="27"/>
                <w:spacing w:val="3"/>
              </w:rPr>
              <w:t xml:space="preserve">    </w:t>
            </w:r>
            <w:r>
              <w:rPr>
                <w:rFonts w:ascii="SimSun" w:hAnsi="SimSun" w:eastAsia="SimSun" w:cs="SimSun"/>
                <w:sz w:val="27"/>
                <w:szCs w:val="27"/>
                <w:spacing w:val="-21"/>
              </w:rPr>
              <w:t>“等”或其他明显</w:t>
            </w:r>
            <w:r>
              <w:rPr>
                <w:rFonts w:ascii="SimSun" w:hAnsi="SimSun" w:eastAsia="SimSun" w:cs="SimSun"/>
                <w:sz w:val="27"/>
                <w:szCs w:val="27"/>
                <w:spacing w:val="-22"/>
              </w:rPr>
              <w:t>会造</w:t>
            </w:r>
            <w:r>
              <w:rPr>
                <w:rFonts w:ascii="SimSun" w:hAnsi="SimSun" w:eastAsia="SimSun" w:cs="SimSun"/>
                <w:sz w:val="27"/>
                <w:szCs w:val="27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20"/>
              </w:rPr>
              <w:t>成权利要求不清楚的表述。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49" w:hRule="atLeast"/>
        </w:trPr>
        <w:tc>
          <w:tcPr>
            <w:tcW w:w="178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83" w:type="dxa"/>
            <w:vAlign w:val="top"/>
          </w:tcPr>
          <w:p>
            <w:pPr>
              <w:ind w:left="111" w:hanging="9"/>
              <w:spacing w:before="67" w:line="201" w:lineRule="auto"/>
              <w:jc w:val="both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4"/>
              </w:rPr>
              <w:t>9.附图标记应当加括号，并放在相应的技术特征</w:t>
            </w:r>
            <w:r>
              <w:rPr>
                <w:rFonts w:ascii="SimSun" w:hAnsi="SimSun" w:eastAsia="SimSun" w:cs="SimSun"/>
                <w:sz w:val="27"/>
                <w:szCs w:val="27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13"/>
              </w:rPr>
              <w:t>后面，技术术语及附图标记与说明书及其附图</w:t>
            </w:r>
            <w:r>
              <w:rPr>
                <w:rFonts w:ascii="SimSun" w:hAnsi="SimSun" w:eastAsia="SimSun" w:cs="SimSun"/>
                <w:sz w:val="27"/>
                <w:szCs w:val="27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11"/>
              </w:rPr>
              <w:t>保持</w:t>
            </w:r>
            <w:r>
              <w:rPr>
                <w:rFonts w:ascii="SimSun" w:hAnsi="SimSun" w:eastAsia="SimSun" w:cs="SimSun"/>
                <w:sz w:val="27"/>
                <w:szCs w:val="27"/>
                <w:spacing w:val="-68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11"/>
              </w:rPr>
              <w:t>一</w:t>
            </w:r>
            <w:r>
              <w:rPr>
                <w:rFonts w:ascii="SimSun" w:hAnsi="SimSun" w:eastAsia="SimSun" w:cs="SimSun"/>
                <w:sz w:val="27"/>
                <w:szCs w:val="27"/>
                <w:spacing w:val="-76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11"/>
              </w:rPr>
              <w:t>致。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49" w:hRule="atLeast"/>
        </w:trPr>
        <w:tc>
          <w:tcPr>
            <w:tcW w:w="178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83" w:type="dxa"/>
            <w:vAlign w:val="top"/>
          </w:tcPr>
          <w:p>
            <w:pPr>
              <w:ind w:left="112" w:right="4"/>
              <w:spacing w:before="58" w:line="202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10"/>
              </w:rPr>
              <w:t>10.多项权利要求使用阿拉伯数字顺序编号，序</w:t>
            </w:r>
            <w:r>
              <w:rPr>
                <w:rFonts w:ascii="SimSun" w:hAnsi="SimSun" w:eastAsia="SimSun" w:cs="SimSun"/>
                <w:sz w:val="27"/>
                <w:szCs w:val="27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37"/>
              </w:rPr>
              <w:t>号无重复。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49" w:hRule="atLeast"/>
        </w:trPr>
        <w:tc>
          <w:tcPr>
            <w:tcW w:w="178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83" w:type="dxa"/>
            <w:vAlign w:val="top"/>
          </w:tcPr>
          <w:p>
            <w:pPr>
              <w:ind w:left="92"/>
              <w:spacing w:before="50" w:line="225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3"/>
              </w:rPr>
              <w:t>11.不应出现“如说明书……所述”</w:t>
            </w:r>
            <w:r>
              <w:rPr>
                <w:rFonts w:ascii="SimSun" w:hAnsi="SimSun" w:eastAsia="SimSun" w:cs="SimSun"/>
                <w:sz w:val="27"/>
                <w:szCs w:val="27"/>
                <w:spacing w:val="21"/>
              </w:rPr>
              <w:t xml:space="preserve">  </w:t>
            </w:r>
            <w:r>
              <w:rPr>
                <w:rFonts w:ascii="SimSun" w:hAnsi="SimSun" w:eastAsia="SimSun" w:cs="SimSun"/>
                <w:sz w:val="27"/>
                <w:szCs w:val="27"/>
                <w:spacing w:val="3"/>
              </w:rPr>
              <w:t>"如图……</w:t>
            </w:r>
          </w:p>
          <w:p>
            <w:pPr>
              <w:ind w:left="112"/>
              <w:spacing w:line="191" w:lineRule="auto"/>
              <w:rPr>
                <w:rFonts w:ascii="SimSun" w:hAnsi="SimSun" w:eastAsia="SimSun" w:cs="SimSun"/>
                <w:sz w:val="26"/>
                <w:szCs w:val="26"/>
              </w:rPr>
            </w:pPr>
            <w:r>
              <w:rPr>
                <w:rFonts w:ascii="SimSun" w:hAnsi="SimSun" w:eastAsia="SimSun" w:cs="SimSun"/>
                <w:sz w:val="26"/>
                <w:szCs w:val="26"/>
                <w:spacing w:val="38"/>
              </w:rPr>
              <w:t>所示”等用语。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1783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83" w:type="dxa"/>
            <w:vAlign w:val="top"/>
          </w:tcPr>
          <w:p>
            <w:pPr>
              <w:ind w:left="112"/>
              <w:spacing w:before="51" w:line="200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10"/>
              </w:rPr>
              <w:t>12.无敏感词或敏感内容。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9"/>
          <w:pgSz w:w="11910" w:h="16840"/>
          <w:pgMar w:top="1431" w:right="1365" w:bottom="1144" w:left="1484" w:header="0" w:footer="855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110" w:lineRule="exact"/>
        <w:rPr/>
      </w:pPr>
      <w:r/>
    </w:p>
    <w:tbl>
      <w:tblPr>
        <w:tblStyle w:val="2"/>
        <w:tblW w:w="904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793"/>
        <w:gridCol w:w="5873"/>
        <w:gridCol w:w="1383"/>
      </w:tblGrid>
      <w:tr>
        <w:trPr>
          <w:trHeight w:val="1294" w:hRule="atLeast"/>
        </w:trPr>
        <w:tc>
          <w:tcPr>
            <w:tcW w:w="1793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ind w:left="464"/>
              <w:spacing w:before="91" w:line="219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6"/>
              </w:rPr>
              <w:t>说明书</w:t>
            </w:r>
          </w:p>
        </w:tc>
        <w:tc>
          <w:tcPr>
            <w:tcW w:w="5873" w:type="dxa"/>
            <w:vAlign w:val="top"/>
          </w:tcPr>
          <w:p>
            <w:pPr>
              <w:ind w:left="112"/>
              <w:spacing w:before="147" w:line="236" w:lineRule="auto"/>
              <w:jc w:val="both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</w:rPr>
              <w:t>1.说明书包括技术领域、背景技术、发明内容/</w:t>
            </w:r>
            <w:r>
              <w:rPr>
                <w:rFonts w:ascii="SimSun" w:hAnsi="SimSun" w:eastAsia="SimSun" w:cs="SimSun"/>
                <w:sz w:val="28"/>
                <w:szCs w:val="28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8"/>
                <w:szCs w:val="28"/>
                <w:spacing w:val="14"/>
              </w:rPr>
              <w:t>实用新型内容、附图说明(如有附图)、具体</w:t>
            </w:r>
            <w:r>
              <w:rPr>
                <w:rFonts w:ascii="SimSun" w:hAnsi="SimSun" w:eastAsia="SimSun" w:cs="SimSun"/>
                <w:sz w:val="28"/>
                <w:szCs w:val="28"/>
                <w:spacing w:val="5"/>
              </w:rPr>
              <w:t xml:space="preserve">  </w:t>
            </w:r>
            <w:r>
              <w:rPr>
                <w:rFonts w:ascii="SimSun" w:hAnsi="SimSun" w:eastAsia="SimSun" w:cs="SimSun"/>
                <w:sz w:val="28"/>
                <w:szCs w:val="28"/>
                <w:spacing w:val="8"/>
              </w:rPr>
              <w:t>实施方式，且各小标题前无段落号。</w:t>
            </w:r>
          </w:p>
        </w:tc>
        <w:tc>
          <w:tcPr>
            <w:tcW w:w="138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30" w:hRule="atLeast"/>
        </w:trPr>
        <w:tc>
          <w:tcPr>
            <w:tcW w:w="179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73" w:type="dxa"/>
            <w:vAlign w:val="top"/>
          </w:tcPr>
          <w:p>
            <w:pPr>
              <w:ind w:left="112" w:right="72"/>
              <w:spacing w:before="80" w:line="214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3"/>
              </w:rPr>
              <w:t>2.说明书中不含非技术术语、敏感词或敏感内</w:t>
            </w:r>
            <w:r>
              <w:rPr>
                <w:rFonts w:ascii="SimSun" w:hAnsi="SimSun" w:eastAsia="SimSun" w:cs="SimSun"/>
                <w:sz w:val="28"/>
                <w:szCs w:val="28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8"/>
                <w:szCs w:val="28"/>
                <w:spacing w:val="12"/>
              </w:rPr>
              <w:t>容，也不得有商业宣传。</w:t>
            </w:r>
          </w:p>
        </w:tc>
        <w:tc>
          <w:tcPr>
            <w:tcW w:w="138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09" w:hRule="atLeast"/>
        </w:trPr>
        <w:tc>
          <w:tcPr>
            <w:tcW w:w="179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73" w:type="dxa"/>
            <w:vAlign w:val="top"/>
          </w:tcPr>
          <w:p>
            <w:pPr>
              <w:ind w:left="112"/>
              <w:spacing w:before="151" w:line="239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3"/>
              </w:rPr>
              <w:t>3.说明书中无“在此处键入”的字样；发明申请</w:t>
            </w:r>
            <w:r>
              <w:rPr>
                <w:rFonts w:ascii="SimSun" w:hAnsi="SimSun" w:eastAsia="SimSun" w:cs="SimSun"/>
                <w:sz w:val="27"/>
                <w:szCs w:val="27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17"/>
              </w:rPr>
              <w:t>说明书中无“本实用新型”的表述。</w:t>
            </w:r>
          </w:p>
        </w:tc>
        <w:tc>
          <w:tcPr>
            <w:tcW w:w="138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09" w:hRule="atLeast"/>
        </w:trPr>
        <w:tc>
          <w:tcPr>
            <w:tcW w:w="179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73" w:type="dxa"/>
            <w:vAlign w:val="top"/>
          </w:tcPr>
          <w:p>
            <w:pPr>
              <w:ind w:left="112"/>
              <w:spacing w:before="142" w:line="239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3"/>
              </w:rPr>
              <w:t>4.说明书附图说明与附图对应，说明书文字部分</w:t>
            </w:r>
            <w:r>
              <w:rPr>
                <w:rFonts w:ascii="SimSun" w:hAnsi="SimSun" w:eastAsia="SimSun" w:cs="SimSun"/>
                <w:sz w:val="27"/>
                <w:szCs w:val="27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19"/>
              </w:rPr>
              <w:t>与说明书附图应当一一对应。</w:t>
            </w:r>
          </w:p>
        </w:tc>
        <w:tc>
          <w:tcPr>
            <w:tcW w:w="138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179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73" w:type="dxa"/>
            <w:vAlign w:val="top"/>
          </w:tcPr>
          <w:p>
            <w:pPr>
              <w:ind w:left="112"/>
              <w:spacing w:before="43" w:line="202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8"/>
              </w:rPr>
              <w:t>5.说明书中的公式清晰、无乱码。</w:t>
            </w:r>
          </w:p>
        </w:tc>
        <w:tc>
          <w:tcPr>
            <w:tcW w:w="138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349" w:hRule="atLeast"/>
        </w:trPr>
        <w:tc>
          <w:tcPr>
            <w:tcW w:w="179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73" w:type="dxa"/>
            <w:vAlign w:val="top"/>
          </w:tcPr>
          <w:p>
            <w:pPr>
              <w:ind w:left="112"/>
              <w:spacing w:before="223" w:line="235" w:lineRule="auto"/>
              <w:jc w:val="both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3"/>
              </w:rPr>
              <w:t>6.不含流程图、方框图、曲线图、相图等插图；</w:t>
            </w:r>
            <w:r>
              <w:rPr>
                <w:rFonts w:ascii="SimSun" w:hAnsi="SimSun" w:eastAsia="SimSun" w:cs="SimSun"/>
                <w:sz w:val="27"/>
                <w:szCs w:val="27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3"/>
              </w:rPr>
              <w:t>表格应当清晰完整，化学式或数学式应当清晰、</w:t>
            </w:r>
            <w:r>
              <w:rPr>
                <w:rFonts w:ascii="SimSun" w:hAnsi="SimSun" w:eastAsia="SimSun" w:cs="SimSun"/>
                <w:sz w:val="27"/>
                <w:szCs w:val="27"/>
                <w:spacing w:val="15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18"/>
              </w:rPr>
              <w:t>列明相关参数含义。</w:t>
            </w:r>
          </w:p>
        </w:tc>
        <w:tc>
          <w:tcPr>
            <w:tcW w:w="138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09" w:hRule="atLeast"/>
        </w:trPr>
        <w:tc>
          <w:tcPr>
            <w:tcW w:w="1793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73" w:type="dxa"/>
            <w:vAlign w:val="top"/>
          </w:tcPr>
          <w:p>
            <w:pPr>
              <w:ind w:left="112" w:right="89"/>
              <w:spacing w:before="215" w:line="225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2"/>
              </w:rPr>
              <w:t>7.说明书中采用的英文简写应有本领域公知的</w:t>
            </w:r>
            <w:r>
              <w:rPr>
                <w:rFonts w:ascii="SimSun" w:hAnsi="SimSun" w:eastAsia="SimSun" w:cs="SimSun"/>
                <w:sz w:val="28"/>
                <w:szCs w:val="28"/>
                <w:spacing w:val="18"/>
              </w:rPr>
              <w:t xml:space="preserve"> </w:t>
            </w:r>
            <w:r>
              <w:rPr>
                <w:rFonts w:ascii="SimSun" w:hAnsi="SimSun" w:eastAsia="SimSun" w:cs="SimSun"/>
                <w:sz w:val="28"/>
                <w:szCs w:val="28"/>
                <w:spacing w:val="27"/>
              </w:rPr>
              <w:t>明确含义。</w:t>
            </w:r>
          </w:p>
        </w:tc>
        <w:tc>
          <w:tcPr>
            <w:tcW w:w="138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29" w:hRule="atLeast"/>
        </w:trPr>
        <w:tc>
          <w:tcPr>
            <w:tcW w:w="1793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ind w:left="184"/>
              <w:spacing w:before="91" w:line="219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4"/>
              </w:rPr>
              <w:t>说明书附图</w:t>
            </w:r>
          </w:p>
        </w:tc>
        <w:tc>
          <w:tcPr>
            <w:tcW w:w="5873" w:type="dxa"/>
            <w:vAlign w:val="top"/>
          </w:tcPr>
          <w:p>
            <w:pPr>
              <w:ind w:left="112"/>
              <w:spacing w:before="283" w:line="218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6"/>
              </w:rPr>
              <w:t>1.有多幅附图的，用阿拉伯数字正确编号。</w:t>
            </w:r>
          </w:p>
        </w:tc>
        <w:tc>
          <w:tcPr>
            <w:tcW w:w="138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629" w:hRule="atLeast"/>
        </w:trPr>
        <w:tc>
          <w:tcPr>
            <w:tcW w:w="179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73" w:type="dxa"/>
            <w:vAlign w:val="top"/>
          </w:tcPr>
          <w:p>
            <w:pPr>
              <w:ind w:left="112"/>
              <w:spacing w:before="174" w:line="232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</w:rPr>
              <w:t>2.附图应当均匀清晰(应当保证在该图缩小到三</w:t>
            </w:r>
            <w:r>
              <w:rPr>
                <w:rFonts w:ascii="SimSun" w:hAnsi="SimSun" w:eastAsia="SimSun" w:cs="SimSun"/>
                <w:sz w:val="28"/>
                <w:szCs w:val="28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8"/>
                <w:szCs w:val="28"/>
                <w:spacing w:val="3"/>
              </w:rPr>
              <w:t>分之二时仍能清晰地分辨出图中各个细节，以</w:t>
            </w:r>
            <w:r>
              <w:rPr>
                <w:rFonts w:ascii="SimSun" w:hAnsi="SimSun" w:eastAsia="SimSun" w:cs="SimSun"/>
                <w:sz w:val="28"/>
                <w:szCs w:val="28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8"/>
                <w:szCs w:val="28"/>
                <w:spacing w:val="8"/>
              </w:rPr>
              <w:t>能够满足复印、扫描的要求为准)、足够深，</w:t>
            </w:r>
          </w:p>
          <w:p>
            <w:pPr>
              <w:ind w:left="112"/>
              <w:spacing w:before="37" w:line="219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7"/>
              </w:rPr>
              <w:t>不得着色和涂改、使用工程蓝图或存在水印。</w:t>
            </w:r>
          </w:p>
        </w:tc>
        <w:tc>
          <w:tcPr>
            <w:tcW w:w="138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09" w:hRule="atLeast"/>
        </w:trPr>
        <w:tc>
          <w:tcPr>
            <w:tcW w:w="179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73" w:type="dxa"/>
            <w:vAlign w:val="top"/>
          </w:tcPr>
          <w:p>
            <w:pPr>
              <w:ind w:left="112"/>
              <w:spacing w:before="68" w:line="219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3"/>
              </w:rPr>
              <w:t>3.附图中除了必需的词语外，不应当含有其他的</w:t>
            </w:r>
            <w:r>
              <w:rPr>
                <w:rFonts w:ascii="SimSun" w:hAnsi="SimSun" w:eastAsia="SimSun" w:cs="SimSun"/>
                <w:sz w:val="27"/>
                <w:szCs w:val="27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16"/>
              </w:rPr>
              <w:t>注释；附图的周围不得有与图无关的框线。</w:t>
            </w:r>
          </w:p>
        </w:tc>
        <w:tc>
          <w:tcPr>
            <w:tcW w:w="138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30" w:hRule="atLeast"/>
        </w:trPr>
        <w:tc>
          <w:tcPr>
            <w:tcW w:w="179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73" w:type="dxa"/>
            <w:vAlign w:val="top"/>
          </w:tcPr>
          <w:p>
            <w:pPr>
              <w:ind w:left="112"/>
              <w:spacing w:before="89" w:line="219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3"/>
              </w:rPr>
              <w:t>4.附图中的词语应当使用中文，必要时，可以在</w:t>
            </w:r>
            <w:r>
              <w:rPr>
                <w:rFonts w:ascii="SimSun" w:hAnsi="SimSun" w:eastAsia="SimSun" w:cs="SimSun"/>
                <w:sz w:val="27"/>
                <w:szCs w:val="27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21"/>
              </w:rPr>
              <w:t>其后的括号里注明原文。</w:t>
            </w:r>
          </w:p>
        </w:tc>
        <w:tc>
          <w:tcPr>
            <w:tcW w:w="138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9" w:hRule="atLeast"/>
        </w:trPr>
        <w:tc>
          <w:tcPr>
            <w:tcW w:w="179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73" w:type="dxa"/>
            <w:vAlign w:val="top"/>
          </w:tcPr>
          <w:p>
            <w:pPr>
              <w:ind w:left="111" w:hanging="9"/>
              <w:spacing w:before="148" w:line="239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4"/>
              </w:rPr>
              <w:t>5.不得存在说明书文字部分未提及的附图，附图</w:t>
            </w:r>
            <w:r>
              <w:rPr>
                <w:rFonts w:ascii="SimSun" w:hAnsi="SimSun" w:eastAsia="SimSun" w:cs="SimSun"/>
                <w:sz w:val="27"/>
                <w:szCs w:val="27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16"/>
              </w:rPr>
              <w:t>部分没有的图号不应在说明书中出现。</w:t>
            </w:r>
          </w:p>
        </w:tc>
        <w:tc>
          <w:tcPr>
            <w:tcW w:w="138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204" w:hRule="atLeast"/>
        </w:trPr>
        <w:tc>
          <w:tcPr>
            <w:tcW w:w="1793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73" w:type="dxa"/>
            <w:vAlign w:val="top"/>
          </w:tcPr>
          <w:p>
            <w:pPr>
              <w:ind w:left="112" w:right="85" w:hanging="10"/>
              <w:spacing w:before="121" w:line="238" w:lineRule="auto"/>
              <w:jc w:val="both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3"/>
              </w:rPr>
              <w:t>6.说明书文字部分中未提及的附图标记不得在</w:t>
            </w:r>
            <w:r>
              <w:rPr>
                <w:rFonts w:ascii="SimSun" w:hAnsi="SimSun" w:eastAsia="SimSun" w:cs="SimSun"/>
                <w:sz w:val="28"/>
                <w:szCs w:val="28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8"/>
                <w:szCs w:val="28"/>
                <w:spacing w:val="2"/>
              </w:rPr>
              <w:t>附图中出现，附图中未出现的附图标记也不得</w:t>
            </w:r>
            <w:r>
              <w:rPr>
                <w:rFonts w:ascii="SimSun" w:hAnsi="SimSun" w:eastAsia="SimSun" w:cs="SimSun"/>
                <w:sz w:val="28"/>
                <w:szCs w:val="28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8"/>
                <w:szCs w:val="28"/>
                <w:spacing w:val="11"/>
              </w:rPr>
              <w:t>在说明书文字部分中提及。</w:t>
            </w:r>
          </w:p>
        </w:tc>
        <w:tc>
          <w:tcPr>
            <w:tcW w:w="138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0"/>
          <w:pgSz w:w="11910" w:h="16840"/>
          <w:pgMar w:top="1431" w:right="1385" w:bottom="1134" w:left="1465" w:header="0" w:footer="845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100" w:lineRule="exact"/>
        <w:rPr/>
      </w:pPr>
      <w:r/>
    </w:p>
    <w:tbl>
      <w:tblPr>
        <w:tblStyle w:val="2"/>
        <w:tblW w:w="907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793"/>
        <w:gridCol w:w="5884"/>
        <w:gridCol w:w="1393"/>
      </w:tblGrid>
      <w:tr>
        <w:trPr>
          <w:trHeight w:val="1089" w:hRule="atLeast"/>
        </w:trPr>
        <w:tc>
          <w:tcPr>
            <w:tcW w:w="1793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ind w:left="185"/>
              <w:spacing w:before="91" w:line="219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2"/>
              </w:rPr>
              <w:t>说明书摘要</w:t>
            </w:r>
          </w:p>
        </w:tc>
        <w:tc>
          <w:tcPr>
            <w:tcW w:w="5884" w:type="dxa"/>
            <w:vAlign w:val="top"/>
          </w:tcPr>
          <w:p>
            <w:pPr>
              <w:ind w:left="112" w:firstLine="10"/>
              <w:spacing w:before="75" w:line="231" w:lineRule="auto"/>
              <w:jc w:val="both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9"/>
              </w:rPr>
              <w:t>1.应当写明发明/实用新型名称和所属的技术领</w:t>
            </w:r>
            <w:r>
              <w:rPr>
                <w:rFonts w:ascii="SimSun" w:hAnsi="SimSun" w:eastAsia="SimSun" w:cs="SimSun"/>
                <w:sz w:val="27"/>
                <w:szCs w:val="27"/>
                <w:spacing w:val="17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14"/>
              </w:rPr>
              <w:t>域，清楚反映所要解决的技术问题，解决该问</w:t>
            </w:r>
            <w:r>
              <w:rPr>
                <w:rFonts w:ascii="SimSun" w:hAnsi="SimSun" w:eastAsia="SimSun" w:cs="SimSun"/>
                <w:sz w:val="27"/>
                <w:szCs w:val="27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20"/>
              </w:rPr>
              <w:t>题的技术方案要点及主要用途。</w:t>
            </w:r>
          </w:p>
        </w:tc>
        <w:tc>
          <w:tcPr>
            <w:tcW w:w="13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90" w:hRule="atLeast"/>
        </w:trPr>
        <w:tc>
          <w:tcPr>
            <w:tcW w:w="1793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84" w:type="dxa"/>
            <w:vAlign w:val="top"/>
          </w:tcPr>
          <w:p>
            <w:pPr>
              <w:ind w:left="122"/>
              <w:spacing w:before="76" w:line="231" w:lineRule="auto"/>
              <w:jc w:val="both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</w:rPr>
              <w:t>2.摘要文字部分(标点符号、</w:t>
            </w:r>
            <w:r>
              <w:rPr>
                <w:rFonts w:ascii="SimSun" w:hAnsi="SimSun" w:eastAsia="SimSun" w:cs="SimSun"/>
                <w:sz w:val="27"/>
                <w:szCs w:val="27"/>
                <w:spacing w:val="80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</w:rPr>
              <w:t>一个英文字母分别</w:t>
            </w:r>
            <w:r>
              <w:rPr>
                <w:rFonts w:ascii="SimSun" w:hAnsi="SimSun" w:eastAsia="SimSun" w:cs="SimSun"/>
                <w:sz w:val="27"/>
                <w:szCs w:val="27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24"/>
              </w:rPr>
              <w:t>算一个字符)不得超过300个字，并且不得使</w:t>
            </w:r>
            <w:r>
              <w:rPr>
                <w:rFonts w:ascii="SimSun" w:hAnsi="SimSun" w:eastAsia="SimSun" w:cs="SimSun"/>
                <w:sz w:val="27"/>
                <w:szCs w:val="27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24"/>
              </w:rPr>
              <w:t>用商业性宣传用语。</w:t>
            </w:r>
          </w:p>
        </w:tc>
        <w:tc>
          <w:tcPr>
            <w:tcW w:w="13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ind w:left="95"/>
        <w:spacing w:before="54" w:line="220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22"/>
        </w:rPr>
        <w:t>注意事项：</w:t>
      </w:r>
    </w:p>
    <w:p>
      <w:pPr>
        <w:ind w:left="705"/>
        <w:spacing w:before="19" w:line="213" w:lineRule="auto"/>
        <w:rPr>
          <w:rFonts w:ascii="FangSong" w:hAnsi="FangSong" w:eastAsia="FangSong" w:cs="FangSong"/>
          <w:sz w:val="27"/>
          <w:szCs w:val="27"/>
        </w:rPr>
      </w:pPr>
      <w:r>
        <w:rPr>
          <w:rFonts w:ascii="Times New Roman" w:hAnsi="Times New Roman" w:eastAsia="Times New Roman" w:cs="Times New Roman"/>
          <w:sz w:val="27"/>
          <w:szCs w:val="27"/>
          <w:b/>
          <w:bCs/>
          <w:spacing w:val="-29"/>
        </w:rPr>
        <w:t>1.</w:t>
      </w:r>
      <w:r>
        <w:rPr>
          <w:rFonts w:ascii="FangSong" w:hAnsi="FangSong" w:eastAsia="FangSong" w:cs="FangSong"/>
          <w:sz w:val="27"/>
          <w:szCs w:val="27"/>
          <w:b/>
          <w:bCs/>
          <w:spacing w:val="-29"/>
        </w:rPr>
        <w:t>自检结果符合要求请划“</w:t>
      </w:r>
      <w:r>
        <w:rPr>
          <w:rFonts w:ascii="FangSong" w:hAnsi="FangSong" w:eastAsia="FangSong" w:cs="FangSong"/>
          <w:sz w:val="27"/>
          <w:szCs w:val="27"/>
          <w:spacing w:val="-54"/>
        </w:rPr>
        <w:t xml:space="preserve"> </w:t>
      </w:r>
      <w:r>
        <w:rPr>
          <w:rFonts w:ascii="FangSong" w:hAnsi="FangSong" w:eastAsia="FangSong" w:cs="FangSong"/>
          <w:sz w:val="27"/>
          <w:szCs w:val="27"/>
          <w:b/>
          <w:bCs/>
          <w:spacing w:val="-29"/>
        </w:rPr>
        <w:t>√”,</w:t>
      </w:r>
      <w:r>
        <w:rPr>
          <w:rFonts w:ascii="FangSong" w:hAnsi="FangSong" w:eastAsia="FangSong" w:cs="FangSong"/>
          <w:sz w:val="27"/>
          <w:szCs w:val="27"/>
          <w:spacing w:val="-39"/>
        </w:rPr>
        <w:t xml:space="preserve"> </w:t>
      </w:r>
      <w:r>
        <w:rPr>
          <w:rFonts w:ascii="Times New Roman" w:hAnsi="Times New Roman" w:eastAsia="Times New Roman" w:cs="Times New Roman"/>
          <w:sz w:val="27"/>
          <w:szCs w:val="27"/>
          <w:b/>
          <w:bCs/>
          <w:spacing w:val="-29"/>
        </w:rPr>
        <w:t>WORD</w:t>
      </w:r>
      <w:r>
        <w:rPr>
          <w:rFonts w:ascii="Times New Roman" w:hAnsi="Times New Roman" w:eastAsia="Times New Roman" w:cs="Times New Roman"/>
          <w:sz w:val="27"/>
          <w:szCs w:val="27"/>
          <w:spacing w:val="-35"/>
        </w:rPr>
        <w:t xml:space="preserve"> </w:t>
      </w:r>
      <w:r>
        <w:rPr>
          <w:rFonts w:ascii="FangSong" w:hAnsi="FangSong" w:eastAsia="FangSong" w:cs="FangSong"/>
          <w:sz w:val="27"/>
          <w:szCs w:val="27"/>
          <w:b/>
          <w:bCs/>
          <w:spacing w:val="-29"/>
        </w:rPr>
        <w:t>版本和扫描版本都为有效</w:t>
      </w:r>
      <w:r>
        <w:rPr>
          <w:rFonts w:ascii="FangSong" w:hAnsi="FangSong" w:eastAsia="FangSong" w:cs="FangSong"/>
          <w:sz w:val="27"/>
          <w:szCs w:val="27"/>
          <w:spacing w:val="-29"/>
        </w:rPr>
        <w:t>。</w:t>
      </w:r>
    </w:p>
    <w:p>
      <w:pPr>
        <w:ind w:left="798" w:right="39" w:hanging="93"/>
        <w:spacing w:before="2" w:line="213" w:lineRule="auto"/>
        <w:rPr>
          <w:rFonts w:ascii="FangSong" w:hAnsi="FangSong" w:eastAsia="FangSong" w:cs="FangSong"/>
          <w:sz w:val="27"/>
          <w:szCs w:val="27"/>
        </w:rPr>
      </w:pPr>
      <w:r>
        <w:rPr>
          <w:rFonts w:ascii="Times New Roman" w:hAnsi="Times New Roman" w:eastAsia="Times New Roman" w:cs="Times New Roman"/>
          <w:sz w:val="27"/>
          <w:szCs w:val="27"/>
          <w:b/>
          <w:bCs/>
          <w:spacing w:val="-32"/>
        </w:rPr>
        <w:t>2.</w:t>
      </w:r>
      <w:r>
        <w:rPr>
          <w:rFonts w:ascii="FangSong" w:hAnsi="FangSong" w:eastAsia="FangSong" w:cs="FangSong"/>
          <w:sz w:val="27"/>
          <w:szCs w:val="27"/>
          <w:b/>
          <w:bCs/>
          <w:spacing w:val="-32"/>
        </w:rPr>
        <w:t>受理领域范围：属于海洋或者新一代信息技术产业领域，具体以分类号</w:t>
      </w:r>
      <w:r>
        <w:rPr>
          <w:rFonts w:ascii="FangSong" w:hAnsi="FangSong" w:eastAsia="FangSong" w:cs="FangSong"/>
          <w:sz w:val="27"/>
          <w:szCs w:val="27"/>
          <w:spacing w:val="-32"/>
        </w:rPr>
        <w:t>为准。</w:t>
      </w:r>
      <w:r>
        <w:rPr>
          <w:rFonts w:ascii="FangSong" w:hAnsi="FangSong" w:eastAsia="FangSong" w:cs="FangSong"/>
          <w:sz w:val="27"/>
          <w:szCs w:val="27"/>
          <w:spacing w:val="15"/>
        </w:rPr>
        <w:t xml:space="preserve"> </w:t>
      </w:r>
      <w:r>
        <w:rPr>
          <w:rFonts w:ascii="FangSong" w:hAnsi="FangSong" w:eastAsia="FangSong" w:cs="FangSong"/>
          <w:sz w:val="27"/>
          <w:szCs w:val="27"/>
          <w:b/>
          <w:bCs/>
          <w:spacing w:val="-33"/>
        </w:rPr>
        <w:t>自检单位应认真检查并填写自检表，所列自检项目全部符合要求的方可提交预</w:t>
      </w:r>
    </w:p>
    <w:p>
      <w:pPr>
        <w:ind w:left="105"/>
        <w:spacing w:before="1" w:line="222" w:lineRule="auto"/>
        <w:rPr>
          <w:rFonts w:ascii="FangSong" w:hAnsi="FangSong" w:eastAsia="FangSong" w:cs="FangSong"/>
          <w:sz w:val="27"/>
          <w:szCs w:val="27"/>
        </w:rPr>
      </w:pPr>
      <w:r>
        <w:rPr>
          <w:rFonts w:ascii="FangSong" w:hAnsi="FangSong" w:eastAsia="FangSong" w:cs="FangSong"/>
          <w:sz w:val="27"/>
          <w:szCs w:val="27"/>
          <w:spacing w:val="-19"/>
        </w:rPr>
        <w:t>审。</w:t>
      </w:r>
    </w:p>
    <w:p>
      <w:pPr>
        <w:ind w:left="705"/>
        <w:spacing w:before="111" w:line="480" w:lineRule="exact"/>
        <w:rPr>
          <w:rFonts w:ascii="FangSong" w:hAnsi="FangSong" w:eastAsia="FangSong" w:cs="FangSong"/>
          <w:sz w:val="27"/>
          <w:szCs w:val="27"/>
        </w:rPr>
      </w:pPr>
      <w:r>
        <w:rPr>
          <w:rFonts w:ascii="FangSong" w:hAnsi="FangSong" w:eastAsia="FangSong" w:cs="FangSong"/>
          <w:sz w:val="27"/>
          <w:szCs w:val="27"/>
          <w:spacing w:val="27"/>
          <w:position w:val="15"/>
        </w:rPr>
        <w:t>自检单位名称(加盖公章):</w:t>
      </w:r>
    </w:p>
    <w:p>
      <w:pPr>
        <w:ind w:left="705"/>
        <w:spacing w:before="1" w:line="220" w:lineRule="auto"/>
        <w:rPr>
          <w:rFonts w:ascii="FangSong" w:hAnsi="FangSong" w:eastAsia="FangSong" w:cs="FangSong"/>
          <w:sz w:val="27"/>
          <w:szCs w:val="27"/>
        </w:rPr>
      </w:pPr>
      <w:r>
        <w:rPr>
          <w:rFonts w:ascii="FangSong" w:hAnsi="FangSong" w:eastAsia="FangSong" w:cs="FangSong"/>
          <w:sz w:val="27"/>
          <w:szCs w:val="27"/>
          <w:spacing w:val="-5"/>
        </w:rPr>
        <w:t>自检人姓名：</w:t>
      </w:r>
    </w:p>
    <w:p>
      <w:pPr>
        <w:ind w:left="705"/>
        <w:spacing w:before="158" w:line="480" w:lineRule="exact"/>
        <w:rPr>
          <w:rFonts w:ascii="FangSong" w:hAnsi="FangSong" w:eastAsia="FangSong" w:cs="FangSong"/>
          <w:sz w:val="27"/>
          <w:szCs w:val="27"/>
        </w:rPr>
      </w:pPr>
      <w:r>
        <w:rPr>
          <w:rFonts w:ascii="FangSong" w:hAnsi="FangSong" w:eastAsia="FangSong" w:cs="FangSong"/>
          <w:sz w:val="27"/>
          <w:szCs w:val="27"/>
          <w:spacing w:val="-4"/>
          <w:position w:val="15"/>
        </w:rPr>
        <w:t>自检人联系电话：</w:t>
      </w:r>
    </w:p>
    <w:p>
      <w:pPr>
        <w:ind w:left="705"/>
        <w:spacing w:line="220" w:lineRule="auto"/>
        <w:rPr>
          <w:rFonts w:ascii="FangSong" w:hAnsi="FangSong" w:eastAsia="FangSong" w:cs="FangSong"/>
          <w:sz w:val="27"/>
          <w:szCs w:val="27"/>
        </w:rPr>
      </w:pPr>
      <w:r>
        <w:rPr>
          <w:rFonts w:ascii="FangSong" w:hAnsi="FangSong" w:eastAsia="FangSong" w:cs="FangSong"/>
          <w:sz w:val="27"/>
          <w:szCs w:val="27"/>
          <w:spacing w:val="-11"/>
        </w:rPr>
        <w:t>自检日期：</w:t>
      </w:r>
    </w:p>
    <w:p>
      <w:pPr>
        <w:ind w:left="161"/>
        <w:spacing w:before="219" w:line="213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i/>
          <w:iCs/>
          <w:u w:val="single" w:color="auto"/>
          <w:spacing w:val="-3"/>
        </w:rPr>
        <w:t>注：自检单位指实际提交单位，即委托代理机构申请的填</w:t>
      </w:r>
      <w:r>
        <w:rPr>
          <w:rFonts w:ascii="FangSong" w:hAnsi="FangSong" w:eastAsia="FangSong" w:cs="FangSong"/>
          <w:sz w:val="28"/>
          <w:szCs w:val="28"/>
          <w:i/>
          <w:iCs/>
          <w:u w:val="single" w:color="auto"/>
          <w:spacing w:val="-4"/>
        </w:rPr>
        <w:t>写代理机构信息</w:t>
      </w:r>
    </w:p>
    <w:p>
      <w:pPr>
        <w:sectPr>
          <w:footerReference w:type="default" r:id="rId21"/>
          <w:pgSz w:w="11910" w:h="16840"/>
          <w:pgMar w:top="1431" w:right="1344" w:bottom="1110" w:left="1484" w:header="0" w:footer="841" w:gutter="0"/>
        </w:sectPr>
        <w:rPr/>
      </w:pPr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ind w:left="2901"/>
        <w:spacing w:before="146" w:line="219" w:lineRule="auto"/>
        <w:rPr>
          <w:rFonts w:ascii="SimSun" w:hAnsi="SimSun" w:eastAsia="SimSun" w:cs="SimSun"/>
          <w:sz w:val="45"/>
          <w:szCs w:val="45"/>
        </w:rPr>
      </w:pPr>
      <w:r>
        <w:rPr>
          <w:rFonts w:ascii="SimSun" w:hAnsi="SimSun" w:eastAsia="SimSun" w:cs="SimSun"/>
          <w:sz w:val="45"/>
          <w:szCs w:val="45"/>
          <w:b/>
          <w:bCs/>
          <w:spacing w:val="-12"/>
        </w:rPr>
        <w:t>预审文件自检表</w:t>
      </w:r>
    </w:p>
    <w:p>
      <w:pPr>
        <w:ind w:left="2495"/>
        <w:spacing w:before="138" w:line="223" w:lineRule="auto"/>
        <w:rPr>
          <w:rFonts w:ascii="KaiTi" w:hAnsi="KaiTi" w:eastAsia="KaiTi" w:cs="KaiTi"/>
          <w:sz w:val="29"/>
          <w:szCs w:val="29"/>
        </w:rPr>
      </w:pPr>
      <w:r>
        <w:rPr>
          <w:rFonts w:ascii="KaiTi" w:hAnsi="KaiTi" w:eastAsia="KaiTi" w:cs="KaiTi"/>
          <w:sz w:val="29"/>
          <w:szCs w:val="29"/>
          <w:spacing w:val="9"/>
        </w:rPr>
        <w:t>外观设计专利预审文件自检表</w:t>
      </w:r>
    </w:p>
    <w:p>
      <w:pPr>
        <w:spacing w:line="109" w:lineRule="exact"/>
        <w:rPr/>
      </w:pPr>
      <w:r/>
    </w:p>
    <w:tbl>
      <w:tblPr>
        <w:tblStyle w:val="2"/>
        <w:tblW w:w="889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393"/>
        <w:gridCol w:w="1438"/>
        <w:gridCol w:w="4445"/>
        <w:gridCol w:w="1623"/>
      </w:tblGrid>
      <w:tr>
        <w:trPr>
          <w:trHeight w:val="614" w:hRule="atLeast"/>
        </w:trPr>
        <w:tc>
          <w:tcPr>
            <w:tcW w:w="8899" w:type="dxa"/>
            <w:vAlign w:val="top"/>
            <w:gridSpan w:val="4"/>
          </w:tcPr>
          <w:p>
            <w:pPr>
              <w:ind w:left="3368"/>
              <w:spacing w:before="170" w:line="219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b/>
                <w:bCs/>
                <w:spacing w:val="-2"/>
              </w:rPr>
              <w:t>预审文件基本信息</w:t>
            </w:r>
          </w:p>
        </w:tc>
      </w:tr>
      <w:tr>
        <w:trPr>
          <w:trHeight w:val="559" w:hRule="atLeast"/>
        </w:trPr>
        <w:tc>
          <w:tcPr>
            <w:tcW w:w="2831" w:type="dxa"/>
            <w:vAlign w:val="top"/>
            <w:gridSpan w:val="2"/>
          </w:tcPr>
          <w:p>
            <w:pPr>
              <w:ind w:left="575"/>
              <w:spacing w:before="152" w:line="220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2"/>
              </w:rPr>
              <w:t>外观设计名称</w:t>
            </w:r>
          </w:p>
        </w:tc>
        <w:tc>
          <w:tcPr>
            <w:tcW w:w="606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99" w:hRule="atLeast"/>
        </w:trPr>
        <w:tc>
          <w:tcPr>
            <w:tcW w:w="2831" w:type="dxa"/>
            <w:vAlign w:val="top"/>
            <w:gridSpan w:val="2"/>
          </w:tcPr>
          <w:p>
            <w:pPr>
              <w:ind w:left="155"/>
              <w:spacing w:before="243" w:line="219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1"/>
              </w:rPr>
              <w:t>分类号(应属于保护</w:t>
            </w:r>
          </w:p>
          <w:p>
            <w:pPr>
              <w:ind w:left="455"/>
              <w:spacing w:before="70" w:line="220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7"/>
              </w:rPr>
              <w:t>中心受理范围)</w:t>
            </w:r>
          </w:p>
        </w:tc>
        <w:tc>
          <w:tcPr>
            <w:tcW w:w="606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7" w:hRule="atLeast"/>
        </w:trPr>
        <w:tc>
          <w:tcPr>
            <w:tcW w:w="2831" w:type="dxa"/>
            <w:vAlign w:val="top"/>
            <w:gridSpan w:val="2"/>
          </w:tcPr>
          <w:p>
            <w:pPr>
              <w:ind w:left="105" w:right="366"/>
              <w:spacing w:before="323" w:line="241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2"/>
              </w:rPr>
              <w:t>对比文件公开信息</w:t>
            </w:r>
            <w:r>
              <w:rPr>
                <w:rFonts w:ascii="SimSun" w:hAnsi="SimSun" w:eastAsia="SimSun" w:cs="SimSun"/>
                <w:sz w:val="27"/>
                <w:szCs w:val="27"/>
                <w:spacing w:val="1"/>
              </w:rPr>
              <w:t xml:space="preserve">  </w:t>
            </w:r>
            <w:r>
              <w:rPr>
                <w:rFonts w:ascii="SimSun" w:hAnsi="SimSun" w:eastAsia="SimSun" w:cs="SimSun"/>
                <w:sz w:val="27"/>
                <w:szCs w:val="27"/>
                <w:spacing w:val="1"/>
              </w:rPr>
              <w:t>(专利文件或两件及</w:t>
            </w:r>
            <w:r>
              <w:rPr>
                <w:rFonts w:ascii="SimSun" w:hAnsi="SimSun" w:eastAsia="SimSun" w:cs="SimSun"/>
                <w:sz w:val="27"/>
                <w:szCs w:val="27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6"/>
              </w:rPr>
              <w:t>以上相似现有设计)</w:t>
            </w:r>
            <w:r>
              <w:rPr>
                <w:rFonts w:ascii="SimSun" w:hAnsi="SimSun" w:eastAsia="SimSun" w:cs="SimSun"/>
                <w:sz w:val="27"/>
                <w:szCs w:val="27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26"/>
              </w:rPr>
              <w:t>填写格式：</w:t>
            </w:r>
          </w:p>
          <w:p>
            <w:pPr>
              <w:ind w:left="105"/>
              <w:spacing w:line="224" w:lineRule="auto"/>
              <w:rPr>
                <w:rFonts w:ascii="SimSun" w:hAnsi="SimSun" w:eastAsia="SimSun" w:cs="SimSun"/>
                <w:sz w:val="26"/>
                <w:szCs w:val="26"/>
              </w:rPr>
            </w:pPr>
            <w:r>
              <w:rPr>
                <w:rFonts w:ascii="SimSun" w:hAnsi="SimSun" w:eastAsia="SimSun" w:cs="SimSun"/>
                <w:sz w:val="26"/>
                <w:szCs w:val="26"/>
                <w:spacing w:val="-2"/>
              </w:rPr>
              <w:t>专利文件--公开号(专利</w:t>
            </w:r>
            <w:r>
              <w:rPr>
                <w:rFonts w:ascii="SimSun" w:hAnsi="SimSun" w:eastAsia="SimSun" w:cs="SimSun"/>
                <w:sz w:val="26"/>
                <w:szCs w:val="26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6"/>
                <w:szCs w:val="26"/>
                <w:spacing w:val="9"/>
              </w:rPr>
              <w:t>号)+专利名称</w:t>
            </w:r>
          </w:p>
          <w:p>
            <w:pPr>
              <w:ind w:left="105"/>
              <w:spacing w:before="10" w:line="217" w:lineRule="auto"/>
              <w:jc w:val="both"/>
              <w:rPr>
                <w:rFonts w:ascii="SimSun" w:hAnsi="SimSun" w:eastAsia="SimSun" w:cs="SimSun"/>
                <w:sz w:val="26"/>
                <w:szCs w:val="26"/>
              </w:rPr>
            </w:pPr>
            <w:r>
              <w:rPr>
                <w:rFonts w:ascii="SimSun" w:hAnsi="SimSun" w:eastAsia="SimSun" w:cs="SimSun"/>
                <w:sz w:val="26"/>
                <w:szCs w:val="26"/>
                <w:spacing w:val="-13"/>
              </w:rPr>
              <w:t>非专利文件--包括但不限</w:t>
            </w:r>
            <w:r>
              <w:rPr>
                <w:rFonts w:ascii="SimSun" w:hAnsi="SimSun" w:eastAsia="SimSun" w:cs="SimSun"/>
                <w:sz w:val="26"/>
                <w:szCs w:val="26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6"/>
                <w:szCs w:val="26"/>
                <w:spacing w:val="-14"/>
              </w:rPr>
              <w:t>于图片、网址链接、书刊</w:t>
            </w:r>
            <w:r>
              <w:rPr>
                <w:rFonts w:ascii="SimSun" w:hAnsi="SimSun" w:eastAsia="SimSun" w:cs="SimSun"/>
                <w:sz w:val="26"/>
                <w:szCs w:val="26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6"/>
                <w:szCs w:val="26"/>
                <w:spacing w:val="41"/>
              </w:rPr>
              <w:t>信息等。</w:t>
            </w:r>
          </w:p>
        </w:tc>
        <w:tc>
          <w:tcPr>
            <w:tcW w:w="606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0" w:hRule="atLeast"/>
        </w:trPr>
        <w:tc>
          <w:tcPr>
            <w:tcW w:w="8899" w:type="dxa"/>
            <w:vAlign w:val="top"/>
            <w:gridSpan w:val="4"/>
          </w:tcPr>
          <w:p>
            <w:pPr>
              <w:ind w:left="3905"/>
              <w:spacing w:before="167" w:line="219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3"/>
              </w:rPr>
              <w:t>自检内容</w:t>
            </w:r>
          </w:p>
        </w:tc>
      </w:tr>
      <w:tr>
        <w:trPr>
          <w:trHeight w:val="1219" w:hRule="atLeast"/>
        </w:trPr>
        <w:tc>
          <w:tcPr>
            <w:tcW w:w="1393" w:type="dxa"/>
            <w:vAlign w:val="top"/>
          </w:tcPr>
          <w:p>
            <w:pPr>
              <w:spacing w:line="397" w:lineRule="auto"/>
              <w:rPr>
                <w:rFonts w:ascii="Arial"/>
                <w:sz w:val="21"/>
              </w:rPr>
            </w:pPr>
            <w:r/>
          </w:p>
          <w:p>
            <w:pPr>
              <w:ind w:left="415"/>
              <w:spacing w:before="87" w:line="219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8"/>
              </w:rPr>
              <w:t>类型</w:t>
            </w:r>
          </w:p>
        </w:tc>
        <w:tc>
          <w:tcPr>
            <w:tcW w:w="5883" w:type="dxa"/>
            <w:vAlign w:val="top"/>
            <w:gridSpan w:val="2"/>
          </w:tcPr>
          <w:p>
            <w:pPr>
              <w:spacing w:line="397" w:lineRule="auto"/>
              <w:rPr>
                <w:rFonts w:ascii="Arial"/>
                <w:sz w:val="21"/>
              </w:rPr>
            </w:pPr>
            <w:r/>
          </w:p>
          <w:p>
            <w:pPr>
              <w:ind w:left="2402"/>
              <w:spacing w:before="87" w:line="219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17"/>
              </w:rPr>
              <w:t>自检项目</w:t>
            </w:r>
          </w:p>
        </w:tc>
        <w:tc>
          <w:tcPr>
            <w:tcW w:w="1623" w:type="dxa"/>
            <w:vAlign w:val="top"/>
          </w:tcPr>
          <w:p>
            <w:pPr>
              <w:ind w:left="329"/>
              <w:spacing w:before="117" w:line="219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3"/>
              </w:rPr>
              <w:t>自检结果</w:t>
            </w:r>
          </w:p>
          <w:p>
            <w:pPr>
              <w:ind w:left="189"/>
              <w:spacing w:before="29" w:line="219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3"/>
              </w:rPr>
              <w:t>(符合要求</w:t>
            </w:r>
          </w:p>
          <w:p>
            <w:pPr>
              <w:ind w:left="169"/>
              <w:spacing w:before="50" w:line="227" w:lineRule="auto"/>
              <w:rPr>
                <w:rFonts w:ascii="SimSun" w:hAnsi="SimSun" w:eastAsia="SimSun" w:cs="SimSun"/>
                <w:sz w:val="26"/>
                <w:szCs w:val="26"/>
              </w:rPr>
            </w:pPr>
            <w:r>
              <w:rPr>
                <w:rFonts w:ascii="SimSun" w:hAnsi="SimSun" w:eastAsia="SimSun" w:cs="SimSun"/>
                <w:sz w:val="26"/>
                <w:szCs w:val="26"/>
                <w:spacing w:val="-18"/>
              </w:rPr>
              <w:t>请划“</w:t>
            </w:r>
            <w:r>
              <w:rPr>
                <w:rFonts w:ascii="SimSun" w:hAnsi="SimSun" w:eastAsia="SimSun" w:cs="SimSun"/>
                <w:sz w:val="26"/>
                <w:szCs w:val="26"/>
                <w:spacing w:val="-48"/>
              </w:rPr>
              <w:t xml:space="preserve"> </w:t>
            </w:r>
            <w:r>
              <w:rPr>
                <w:rFonts w:ascii="SimSun" w:hAnsi="SimSun" w:eastAsia="SimSun" w:cs="SimSun"/>
                <w:sz w:val="26"/>
                <w:szCs w:val="26"/>
                <w:spacing w:val="-18"/>
              </w:rPr>
              <w:t>√</w:t>
            </w:r>
            <w:r>
              <w:rPr>
                <w:rFonts w:ascii="SimSun" w:hAnsi="SimSun" w:eastAsia="SimSun" w:cs="SimSun"/>
                <w:sz w:val="26"/>
                <w:szCs w:val="26"/>
                <w:spacing w:val="-92"/>
              </w:rPr>
              <w:t xml:space="preserve"> </w:t>
            </w:r>
            <w:r>
              <w:rPr>
                <w:rFonts w:ascii="SimSun" w:hAnsi="SimSun" w:eastAsia="SimSun" w:cs="SimSun"/>
                <w:sz w:val="26"/>
                <w:szCs w:val="26"/>
                <w:spacing w:val="-18"/>
              </w:rPr>
              <w:t>”)</w:t>
            </w:r>
          </w:p>
        </w:tc>
      </w:tr>
      <w:tr>
        <w:trPr>
          <w:trHeight w:val="1099" w:hRule="atLeast"/>
        </w:trPr>
        <w:tc>
          <w:tcPr>
            <w:tcW w:w="1393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ind w:left="145"/>
              <w:spacing w:before="88" w:line="221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3"/>
              </w:rPr>
              <w:t>整体要求</w:t>
            </w:r>
          </w:p>
        </w:tc>
        <w:tc>
          <w:tcPr>
            <w:tcW w:w="5883" w:type="dxa"/>
            <w:vAlign w:val="top"/>
            <w:gridSpan w:val="2"/>
          </w:tcPr>
          <w:p>
            <w:pPr>
              <w:ind w:left="112" w:right="41"/>
              <w:spacing w:before="85" w:line="231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4"/>
              </w:rPr>
              <w:t>1.不涉及国家知识产权局《关于规范申请专利</w:t>
            </w:r>
            <w:r>
              <w:rPr>
                <w:rFonts w:ascii="SimSun" w:hAnsi="SimSun" w:eastAsia="SimSun" w:cs="SimSun"/>
                <w:sz w:val="27"/>
                <w:szCs w:val="27"/>
                <w:spacing w:val="7"/>
              </w:rPr>
              <w:t xml:space="preserve">  </w:t>
            </w:r>
            <w:r>
              <w:rPr>
                <w:rFonts w:ascii="SimSun" w:hAnsi="SimSun" w:eastAsia="SimSun" w:cs="SimSun"/>
                <w:sz w:val="27"/>
                <w:szCs w:val="27"/>
                <w:spacing w:val="20"/>
              </w:rPr>
              <w:t>行为的办法》(国家知识产权局公告第411号)</w:t>
            </w:r>
            <w:r>
              <w:rPr>
                <w:rFonts w:ascii="SimSun" w:hAnsi="SimSun" w:eastAsia="SimSun" w:cs="SimSun"/>
                <w:sz w:val="27"/>
                <w:szCs w:val="27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10"/>
              </w:rPr>
              <w:t>规定的非正常申请专利行为。</w:t>
            </w:r>
          </w:p>
        </w:tc>
        <w:tc>
          <w:tcPr>
            <w:tcW w:w="16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89" w:hRule="atLeast"/>
        </w:trPr>
        <w:tc>
          <w:tcPr>
            <w:tcW w:w="139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83" w:type="dxa"/>
            <w:vAlign w:val="top"/>
            <w:gridSpan w:val="2"/>
          </w:tcPr>
          <w:p>
            <w:pPr>
              <w:ind w:left="112" w:right="25"/>
              <w:spacing w:before="79" w:line="230" w:lineRule="auto"/>
              <w:jc w:val="both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6"/>
              </w:rPr>
              <w:t>2.文本完整：外观设计专利请求书、外观设计</w:t>
            </w:r>
            <w:r>
              <w:rPr>
                <w:rFonts w:ascii="SimSun" w:hAnsi="SimSun" w:eastAsia="SimSun" w:cs="SimSun"/>
                <w:sz w:val="27"/>
                <w:szCs w:val="27"/>
                <w:spacing w:val="2"/>
              </w:rPr>
              <w:t xml:space="preserve">  </w:t>
            </w:r>
            <w:r>
              <w:rPr>
                <w:rFonts w:ascii="SimSun" w:hAnsi="SimSun" w:eastAsia="SimSun" w:cs="SimSun"/>
                <w:sz w:val="27"/>
                <w:szCs w:val="27"/>
                <w:spacing w:val="6"/>
              </w:rPr>
              <w:t>图片/照片、简要说明、专利代理机构委托书、</w:t>
            </w:r>
            <w:r>
              <w:rPr>
                <w:rFonts w:ascii="SimSun" w:hAnsi="SimSun" w:eastAsia="SimSun" w:cs="SimSun"/>
                <w:sz w:val="27"/>
                <w:szCs w:val="27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16"/>
              </w:rPr>
              <w:t>第一设计人身份证复印件、总委回执(如有)</w:t>
            </w:r>
            <w:r>
              <w:rPr>
                <w:rFonts w:ascii="SimSun" w:hAnsi="SimSun" w:eastAsia="SimSun" w:cs="SimSun"/>
                <w:sz w:val="27"/>
                <w:szCs w:val="27"/>
                <w:spacing w:val="15"/>
              </w:rPr>
              <w:t>。</w:t>
            </w:r>
          </w:p>
        </w:tc>
        <w:tc>
          <w:tcPr>
            <w:tcW w:w="16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29" w:hRule="atLeast"/>
        </w:trPr>
        <w:tc>
          <w:tcPr>
            <w:tcW w:w="139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83" w:type="dxa"/>
            <w:vAlign w:val="top"/>
            <w:gridSpan w:val="2"/>
          </w:tcPr>
          <w:p>
            <w:pPr>
              <w:ind w:left="112" w:right="230"/>
              <w:spacing w:before="70" w:line="225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6"/>
              </w:rPr>
              <w:t>3.申请文件中不应有错别字、误用字、标点符</w:t>
            </w:r>
            <w:r>
              <w:rPr>
                <w:rFonts w:ascii="SimSun" w:hAnsi="SimSun" w:eastAsia="SimSun" w:cs="SimSun"/>
                <w:sz w:val="27"/>
                <w:szCs w:val="27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7"/>
              </w:rPr>
              <w:t>号错误、语句不通顺、语句重复等问题。</w:t>
            </w:r>
          </w:p>
        </w:tc>
        <w:tc>
          <w:tcPr>
            <w:tcW w:w="16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24" w:hRule="atLeast"/>
        </w:trPr>
        <w:tc>
          <w:tcPr>
            <w:tcW w:w="1393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83" w:type="dxa"/>
            <w:vAlign w:val="top"/>
            <w:gridSpan w:val="2"/>
          </w:tcPr>
          <w:p>
            <w:pPr>
              <w:ind w:left="112" w:right="203"/>
              <w:spacing w:before="80" w:line="220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43"/>
              </w:rPr>
              <w:t>4.提交了与</w:t>
            </w:r>
            <w:r>
              <w:rPr>
                <w:rFonts w:ascii="SimSun" w:hAnsi="SimSun" w:eastAsia="SimSun" w:cs="SimSun"/>
                <w:sz w:val="27"/>
                <w:szCs w:val="27"/>
              </w:rPr>
              <w:t>XML</w:t>
            </w:r>
            <w:r>
              <w:rPr>
                <w:rFonts w:ascii="SimSun" w:hAnsi="SimSun" w:eastAsia="SimSun" w:cs="SimSun"/>
                <w:sz w:val="27"/>
                <w:szCs w:val="27"/>
                <w:spacing w:val="43"/>
              </w:rPr>
              <w:t>文档一致的</w:t>
            </w:r>
            <w:r>
              <w:rPr>
                <w:rFonts w:ascii="SimSun" w:hAnsi="SimSun" w:eastAsia="SimSun" w:cs="SimSun"/>
                <w:sz w:val="27"/>
                <w:szCs w:val="27"/>
              </w:rPr>
              <w:t>PDF</w:t>
            </w:r>
            <w:r>
              <w:rPr>
                <w:rFonts w:ascii="SimSun" w:hAnsi="SimSun" w:eastAsia="SimSun" w:cs="SimSun"/>
                <w:sz w:val="27"/>
                <w:szCs w:val="27"/>
                <w:spacing w:val="43"/>
              </w:rPr>
              <w:t>格式预审申</w:t>
            </w:r>
            <w:r>
              <w:rPr>
                <w:rFonts w:ascii="SimSun" w:hAnsi="SimSun" w:eastAsia="SimSun" w:cs="SimSun"/>
                <w:sz w:val="27"/>
                <w:szCs w:val="27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33"/>
              </w:rPr>
              <w:t>请材料。</w:t>
            </w:r>
          </w:p>
        </w:tc>
        <w:tc>
          <w:tcPr>
            <w:tcW w:w="16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2"/>
          <w:pgSz w:w="11910" w:h="16840"/>
          <w:pgMar w:top="1431" w:right="1465" w:bottom="1123" w:left="1534" w:header="0" w:footer="835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0" w:lineRule="exact"/>
        <w:rPr/>
      </w:pPr>
      <w:r/>
    </w:p>
    <w:tbl>
      <w:tblPr>
        <w:tblStyle w:val="2"/>
        <w:tblW w:w="889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393"/>
        <w:gridCol w:w="5883"/>
        <w:gridCol w:w="1623"/>
      </w:tblGrid>
      <w:tr>
        <w:trPr>
          <w:trHeight w:val="1084" w:hRule="atLeast"/>
        </w:trPr>
        <w:tc>
          <w:tcPr>
            <w:tcW w:w="1393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ind w:left="414" w:right="146" w:hanging="269"/>
              <w:spacing w:before="88" w:line="230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2"/>
              </w:rPr>
              <w:t>外观设计</w:t>
            </w:r>
            <w:r>
              <w:rPr>
                <w:rFonts w:ascii="SimSun" w:hAnsi="SimSun" w:eastAsia="SimSun" w:cs="SimSun"/>
                <w:sz w:val="27"/>
                <w:szCs w:val="27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9"/>
              </w:rPr>
              <w:t>专利</w:t>
            </w:r>
          </w:p>
          <w:p>
            <w:pPr>
              <w:ind w:left="285"/>
              <w:spacing w:before="25" w:line="219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5"/>
              </w:rPr>
              <w:t>请求书</w:t>
            </w:r>
          </w:p>
        </w:tc>
        <w:tc>
          <w:tcPr>
            <w:tcW w:w="5883" w:type="dxa"/>
            <w:vAlign w:val="top"/>
          </w:tcPr>
          <w:p>
            <w:pPr>
              <w:ind w:left="102" w:right="201"/>
              <w:spacing w:before="74" w:line="230" w:lineRule="auto"/>
              <w:jc w:val="both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4"/>
              </w:rPr>
              <w:t>1.使用外观设计的产品名称与简要说明中的外</w:t>
            </w:r>
            <w:r>
              <w:rPr>
                <w:rFonts w:ascii="SimSun" w:hAnsi="SimSun" w:eastAsia="SimSun" w:cs="SimSun"/>
                <w:sz w:val="27"/>
                <w:szCs w:val="27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8"/>
              </w:rPr>
              <w:t>观设计产品的名称一致，且准确、简明地表明</w:t>
            </w:r>
            <w:r>
              <w:rPr>
                <w:rFonts w:ascii="SimSun" w:hAnsi="SimSun" w:eastAsia="SimSun" w:cs="SimSun"/>
                <w:sz w:val="27"/>
                <w:szCs w:val="27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10"/>
              </w:rPr>
              <w:t>要求保护的产品的外观设计。</w:t>
            </w:r>
          </w:p>
        </w:tc>
        <w:tc>
          <w:tcPr>
            <w:tcW w:w="16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89" w:hRule="atLeast"/>
        </w:trPr>
        <w:tc>
          <w:tcPr>
            <w:tcW w:w="139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83" w:type="dxa"/>
            <w:vAlign w:val="top"/>
          </w:tcPr>
          <w:p>
            <w:pPr>
              <w:ind w:left="102" w:right="200"/>
              <w:spacing w:before="62" w:line="234" w:lineRule="auto"/>
              <w:jc w:val="both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6"/>
              </w:rPr>
              <w:t>2.准确填写设计人姓名、第一设计人国籍、居</w:t>
            </w:r>
            <w:r>
              <w:rPr>
                <w:rFonts w:ascii="SimSun" w:hAnsi="SimSun" w:eastAsia="SimSun" w:cs="SimSun"/>
                <w:sz w:val="27"/>
                <w:szCs w:val="27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15"/>
              </w:rPr>
              <w:t>民身份证件号码(第一设计人为外籍或中国港</w:t>
            </w:r>
            <w:r>
              <w:rPr>
                <w:rFonts w:ascii="SimSun" w:hAnsi="SimSun" w:eastAsia="SimSun" w:cs="SimSun"/>
                <w:sz w:val="27"/>
                <w:szCs w:val="27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15"/>
              </w:rPr>
              <w:t>澳台地区，可不填写居民身份证件号码)。</w:t>
            </w:r>
          </w:p>
        </w:tc>
        <w:tc>
          <w:tcPr>
            <w:tcW w:w="16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29" w:hRule="atLeast"/>
        </w:trPr>
        <w:tc>
          <w:tcPr>
            <w:tcW w:w="139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83" w:type="dxa"/>
            <w:vAlign w:val="top"/>
          </w:tcPr>
          <w:p>
            <w:pPr>
              <w:ind w:left="102" w:right="235"/>
              <w:spacing w:before="70" w:line="225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6"/>
              </w:rPr>
              <w:t>3.所有申请人名称、统一社会信用代码准确，</w:t>
            </w:r>
            <w:r>
              <w:rPr>
                <w:rFonts w:ascii="SimSun" w:hAnsi="SimSun" w:eastAsia="SimSun" w:cs="SimSun"/>
                <w:sz w:val="27"/>
                <w:szCs w:val="27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13"/>
              </w:rPr>
              <w:t>地址与邮政编码对应。</w:t>
            </w:r>
          </w:p>
        </w:tc>
        <w:tc>
          <w:tcPr>
            <w:tcW w:w="16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558" w:hRule="atLeast"/>
        </w:trPr>
        <w:tc>
          <w:tcPr>
            <w:tcW w:w="139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83" w:type="dxa"/>
            <w:vAlign w:val="top"/>
          </w:tcPr>
          <w:p>
            <w:pPr>
              <w:ind w:left="102" w:right="31"/>
              <w:spacing w:before="70" w:line="243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6"/>
              </w:rPr>
              <w:t>4.申请人委托专利代理机构的，准确填写专利</w:t>
            </w:r>
            <w:r>
              <w:rPr>
                <w:rFonts w:ascii="SimSun" w:hAnsi="SimSun" w:eastAsia="SimSun" w:cs="SimSun"/>
                <w:sz w:val="27"/>
                <w:szCs w:val="27"/>
                <w:spacing w:val="6"/>
              </w:rPr>
              <w:t xml:space="preserve">  </w:t>
            </w:r>
            <w:r>
              <w:rPr>
                <w:rFonts w:ascii="SimSun" w:hAnsi="SimSun" w:eastAsia="SimSun" w:cs="SimSun"/>
                <w:sz w:val="27"/>
                <w:szCs w:val="27"/>
                <w:spacing w:val="9"/>
              </w:rPr>
              <w:t>代理机构名称、机构代码、代理人姓名、执业</w:t>
            </w:r>
            <w:r>
              <w:rPr>
                <w:rFonts w:ascii="SimSun" w:hAnsi="SimSun" w:eastAsia="SimSun" w:cs="SimSun"/>
                <w:sz w:val="27"/>
                <w:szCs w:val="27"/>
                <w:spacing w:val="4"/>
              </w:rPr>
              <w:t xml:space="preserve">  </w:t>
            </w:r>
            <w:r>
              <w:rPr>
                <w:rFonts w:ascii="SimSun" w:hAnsi="SimSun" w:eastAsia="SimSun" w:cs="SimSun"/>
                <w:sz w:val="27"/>
                <w:szCs w:val="27"/>
                <w:spacing w:val="9"/>
              </w:rPr>
              <w:t>证号、电话号码，并勾选“声明已经与申请人</w:t>
            </w:r>
            <w:r>
              <w:rPr>
                <w:rFonts w:ascii="SimSun" w:hAnsi="SimSun" w:eastAsia="SimSun" w:cs="SimSun"/>
                <w:sz w:val="27"/>
                <w:szCs w:val="27"/>
                <w:spacing w:val="5"/>
              </w:rPr>
              <w:t xml:space="preserve">  </w:t>
            </w:r>
            <w:r>
              <w:rPr>
                <w:rFonts w:ascii="SimSun" w:hAnsi="SimSun" w:eastAsia="SimSun" w:cs="SimSun"/>
                <w:sz w:val="27"/>
                <w:szCs w:val="27"/>
                <w:spacing w:val="9"/>
              </w:rPr>
              <w:t>签订了专利代理委托书且本表中的信息与委托</w:t>
            </w:r>
            <w:r>
              <w:rPr>
                <w:rFonts w:ascii="SimSun" w:hAnsi="SimSun" w:eastAsia="SimSun" w:cs="SimSun"/>
                <w:sz w:val="27"/>
                <w:szCs w:val="27"/>
                <w:spacing w:val="4"/>
              </w:rPr>
              <w:t xml:space="preserve">  </w:t>
            </w:r>
            <w:r>
              <w:rPr>
                <w:rFonts w:ascii="SimSun" w:hAnsi="SimSun" w:eastAsia="SimSun" w:cs="SimSun"/>
                <w:sz w:val="27"/>
                <w:szCs w:val="27"/>
                <w:spacing w:val="15"/>
              </w:rPr>
              <w:t>书中相应信息一致”;申请人未委托专利代理</w:t>
            </w:r>
            <w:r>
              <w:rPr>
                <w:rFonts w:ascii="SimSun" w:hAnsi="SimSun" w:eastAsia="SimSun" w:cs="SimSun"/>
                <w:sz w:val="27"/>
                <w:szCs w:val="27"/>
                <w:spacing w:val="1"/>
              </w:rPr>
              <w:t xml:space="preserve">  </w:t>
            </w:r>
            <w:r>
              <w:rPr>
                <w:rFonts w:ascii="SimSun" w:hAnsi="SimSun" w:eastAsia="SimSun" w:cs="SimSun"/>
                <w:sz w:val="27"/>
                <w:szCs w:val="27"/>
                <w:spacing w:val="16"/>
              </w:rPr>
              <w:t>机构的，准确填写联系人(申请单位工作人员)</w:t>
            </w:r>
            <w:r>
              <w:rPr>
                <w:rFonts w:ascii="SimSun" w:hAnsi="SimSun" w:eastAsia="SimSun" w:cs="SimSun"/>
                <w:sz w:val="27"/>
                <w:szCs w:val="27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10"/>
              </w:rPr>
              <w:t>姓名、通信地址和电话号码。</w:t>
            </w:r>
          </w:p>
        </w:tc>
        <w:tc>
          <w:tcPr>
            <w:tcW w:w="16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19" w:hRule="atLeast"/>
        </w:trPr>
        <w:tc>
          <w:tcPr>
            <w:tcW w:w="139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83" w:type="dxa"/>
            <w:vAlign w:val="top"/>
          </w:tcPr>
          <w:p>
            <w:pPr>
              <w:ind w:left="102"/>
              <w:spacing w:before="65" w:line="232" w:lineRule="auto"/>
              <w:rPr>
                <w:rFonts w:ascii="SimSun" w:hAnsi="SimSun" w:eastAsia="SimSun" w:cs="SimSun"/>
                <w:sz w:val="26"/>
                <w:szCs w:val="26"/>
              </w:rPr>
            </w:pPr>
            <w:r>
              <w:rPr>
                <w:rFonts w:ascii="SimSun" w:hAnsi="SimSun" w:eastAsia="SimSun" w:cs="SimSun"/>
                <w:sz w:val="26"/>
                <w:szCs w:val="26"/>
                <w:spacing w:val="9"/>
              </w:rPr>
              <w:t>5.正确勾选“不丧失新颖性宽限期声明”、“相</w:t>
            </w:r>
            <w:r>
              <w:rPr>
                <w:rFonts w:ascii="SimSun" w:hAnsi="SimSun" w:eastAsia="SimSun" w:cs="SimSun"/>
                <w:sz w:val="26"/>
                <w:szCs w:val="26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6"/>
                <w:szCs w:val="26"/>
                <w:spacing w:val="-19"/>
              </w:rPr>
              <w:t>似设计”、</w:t>
            </w:r>
            <w:r>
              <w:rPr>
                <w:rFonts w:ascii="SimSun" w:hAnsi="SimSun" w:eastAsia="SimSun" w:cs="SimSun"/>
                <w:sz w:val="26"/>
                <w:szCs w:val="26"/>
                <w:spacing w:val="18"/>
              </w:rPr>
              <w:t xml:space="preserve">    </w:t>
            </w:r>
            <w:r>
              <w:rPr>
                <w:rFonts w:ascii="SimSun" w:hAnsi="SimSun" w:eastAsia="SimSun" w:cs="SimSun"/>
                <w:sz w:val="26"/>
                <w:szCs w:val="26"/>
                <w:spacing w:val="-19"/>
              </w:rPr>
              <w:t>“成套产品”、</w:t>
            </w:r>
            <w:r>
              <w:rPr>
                <w:rFonts w:ascii="SimSun" w:hAnsi="SimSun" w:eastAsia="SimSun" w:cs="SimSun"/>
                <w:sz w:val="26"/>
                <w:szCs w:val="26"/>
                <w:spacing w:val="18"/>
              </w:rPr>
              <w:t xml:space="preserve">    </w:t>
            </w:r>
            <w:r>
              <w:rPr>
                <w:rFonts w:ascii="SimSun" w:hAnsi="SimSun" w:eastAsia="SimSun" w:cs="SimSun"/>
                <w:sz w:val="26"/>
                <w:szCs w:val="26"/>
                <w:spacing w:val="-19"/>
              </w:rPr>
              <w:t>“局部设计”。</w:t>
            </w:r>
          </w:p>
        </w:tc>
        <w:tc>
          <w:tcPr>
            <w:tcW w:w="16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49" w:hRule="atLeast"/>
        </w:trPr>
        <w:tc>
          <w:tcPr>
            <w:tcW w:w="139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83" w:type="dxa"/>
            <w:vAlign w:val="top"/>
          </w:tcPr>
          <w:p>
            <w:pPr>
              <w:ind w:left="102" w:right="226"/>
              <w:spacing w:before="87" w:line="226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6"/>
              </w:rPr>
              <w:t>6.已勾选“申请人声明，放弃专利法实施细则</w:t>
            </w:r>
            <w:r>
              <w:rPr>
                <w:rFonts w:ascii="SimSun" w:hAnsi="SimSun" w:eastAsia="SimSun" w:cs="SimSun"/>
                <w:sz w:val="27"/>
                <w:szCs w:val="27"/>
                <w:spacing w:val="17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20"/>
              </w:rPr>
              <w:t>第51条规定的主动修改的权利”。</w:t>
            </w:r>
          </w:p>
        </w:tc>
        <w:tc>
          <w:tcPr>
            <w:tcW w:w="16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449" w:hRule="atLeast"/>
        </w:trPr>
        <w:tc>
          <w:tcPr>
            <w:tcW w:w="1393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83" w:type="dxa"/>
            <w:vAlign w:val="top"/>
          </w:tcPr>
          <w:p>
            <w:pPr>
              <w:ind w:left="102" w:right="158"/>
              <w:spacing w:before="56" w:line="238" w:lineRule="auto"/>
              <w:jc w:val="both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5"/>
              </w:rPr>
              <w:t>7.准确填写申请文件清单，核实总委托书备案</w:t>
            </w:r>
            <w:r>
              <w:rPr>
                <w:rFonts w:ascii="SimSun" w:hAnsi="SimSun" w:eastAsia="SimSun" w:cs="SimSun"/>
                <w:sz w:val="27"/>
                <w:szCs w:val="27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10"/>
              </w:rPr>
              <w:t>编号等附加文件清单信息，如填写总委托书备</w:t>
            </w:r>
            <w:r>
              <w:rPr>
                <w:rFonts w:ascii="SimSun" w:hAnsi="SimSun" w:eastAsia="SimSun" w:cs="SimSun"/>
                <w:sz w:val="27"/>
                <w:szCs w:val="27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9"/>
              </w:rPr>
              <w:t>案编号，需要在预审系统其它文件中提交备案</w:t>
            </w:r>
            <w:r>
              <w:rPr>
                <w:rFonts w:ascii="SimSun" w:hAnsi="SimSun" w:eastAsia="SimSun" w:cs="SimSun"/>
                <w:sz w:val="27"/>
                <w:szCs w:val="27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9"/>
              </w:rPr>
              <w:t>回执图片或其他相关证明文件。</w:t>
            </w:r>
          </w:p>
        </w:tc>
        <w:tc>
          <w:tcPr>
            <w:tcW w:w="16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79" w:hRule="atLeast"/>
        </w:trPr>
        <w:tc>
          <w:tcPr>
            <w:tcW w:w="1393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ind w:left="75" w:right="66" w:firstLine="70"/>
              <w:spacing w:before="88" w:line="230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2"/>
              </w:rPr>
              <w:t>外观设计</w:t>
            </w:r>
            <w:r>
              <w:rPr>
                <w:rFonts w:ascii="SimSun" w:hAnsi="SimSun" w:eastAsia="SimSun" w:cs="SimSun"/>
                <w:sz w:val="27"/>
                <w:szCs w:val="27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5"/>
              </w:rPr>
              <w:t>图片/照片</w:t>
            </w:r>
          </w:p>
        </w:tc>
        <w:tc>
          <w:tcPr>
            <w:tcW w:w="5883" w:type="dxa"/>
            <w:vAlign w:val="top"/>
          </w:tcPr>
          <w:p>
            <w:pPr>
              <w:ind w:left="102" w:right="255"/>
              <w:spacing w:before="169" w:line="219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5"/>
              </w:rPr>
              <w:t>1.外观设计没有违反法律、社会公德或妨害公</w:t>
            </w:r>
            <w:r>
              <w:rPr>
                <w:rFonts w:ascii="SimSun" w:hAnsi="SimSun" w:eastAsia="SimSun" w:cs="SimSun"/>
                <w:sz w:val="27"/>
                <w:szCs w:val="27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33"/>
              </w:rPr>
              <w:t>共利益。</w:t>
            </w:r>
          </w:p>
        </w:tc>
        <w:tc>
          <w:tcPr>
            <w:tcW w:w="16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89" w:hRule="atLeast"/>
        </w:trPr>
        <w:tc>
          <w:tcPr>
            <w:tcW w:w="139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83" w:type="dxa"/>
            <w:vAlign w:val="top"/>
          </w:tcPr>
          <w:p>
            <w:pPr>
              <w:ind w:left="102" w:right="195"/>
              <w:spacing w:before="151" w:line="233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7"/>
              </w:rPr>
              <w:t>2.外观设计不是对平面印刷品的图案、色彩或</w:t>
            </w:r>
            <w:r>
              <w:rPr>
                <w:rFonts w:ascii="SimSun" w:hAnsi="SimSun" w:eastAsia="SimSun" w:cs="SimSun"/>
                <w:sz w:val="27"/>
                <w:szCs w:val="27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8"/>
              </w:rPr>
              <w:t>者二者的结合作出的主要起标识作用的设计。</w:t>
            </w:r>
          </w:p>
        </w:tc>
        <w:tc>
          <w:tcPr>
            <w:tcW w:w="16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80" w:hRule="atLeast"/>
        </w:trPr>
        <w:tc>
          <w:tcPr>
            <w:tcW w:w="139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83" w:type="dxa"/>
            <w:vAlign w:val="top"/>
          </w:tcPr>
          <w:p>
            <w:pPr>
              <w:ind w:left="102" w:right="235"/>
              <w:spacing w:before="152" w:line="228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12"/>
              </w:rPr>
              <w:t>3.该外观设计不是现有设计(没有通过网络、</w:t>
            </w:r>
            <w:r>
              <w:rPr>
                <w:rFonts w:ascii="SimSun" w:hAnsi="SimSun" w:eastAsia="SimSun" w:cs="SimSun"/>
                <w:sz w:val="27"/>
                <w:szCs w:val="27"/>
                <w:spacing w:val="17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19"/>
              </w:rPr>
              <w:t>书刊或销售等方式公开)。</w:t>
            </w:r>
          </w:p>
        </w:tc>
        <w:tc>
          <w:tcPr>
            <w:tcW w:w="16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4" w:hRule="atLeast"/>
        </w:trPr>
        <w:tc>
          <w:tcPr>
            <w:tcW w:w="1393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83" w:type="dxa"/>
            <w:vAlign w:val="top"/>
          </w:tcPr>
          <w:p>
            <w:pPr>
              <w:ind w:left="102" w:right="235"/>
              <w:spacing w:before="141" w:line="236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6"/>
              </w:rPr>
              <w:t>4.外观设计视图数量足以表现整体设计要点，</w:t>
            </w:r>
            <w:r>
              <w:rPr>
                <w:rFonts w:ascii="SimSun" w:hAnsi="SimSun" w:eastAsia="SimSun" w:cs="SimSun"/>
                <w:sz w:val="27"/>
                <w:szCs w:val="27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13"/>
              </w:rPr>
              <w:t>并正确名称及其标注。</w:t>
            </w:r>
          </w:p>
        </w:tc>
        <w:tc>
          <w:tcPr>
            <w:tcW w:w="16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3"/>
          <w:pgSz w:w="11910" w:h="16840"/>
          <w:pgMar w:top="1431" w:right="1445" w:bottom="1151" w:left="1554" w:header="0" w:footer="852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120" w:lineRule="exact"/>
        <w:rPr/>
      </w:pPr>
      <w:r/>
    </w:p>
    <w:tbl>
      <w:tblPr>
        <w:tblStyle w:val="2"/>
        <w:tblW w:w="888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393"/>
        <w:gridCol w:w="5873"/>
        <w:gridCol w:w="1623"/>
      </w:tblGrid>
      <w:tr>
        <w:trPr>
          <w:trHeight w:val="1454" w:hRule="atLeast"/>
        </w:trPr>
        <w:tc>
          <w:tcPr>
            <w:tcW w:w="1393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73" w:type="dxa"/>
            <w:vAlign w:val="top"/>
          </w:tcPr>
          <w:p>
            <w:pPr>
              <w:ind w:left="102" w:right="179"/>
              <w:spacing w:before="55" w:line="239" w:lineRule="auto"/>
              <w:jc w:val="both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6"/>
              </w:rPr>
              <w:t>5.图片参照我国技术制图和机械制图国家标准</w:t>
            </w:r>
            <w:r>
              <w:rPr>
                <w:rFonts w:ascii="SimSun" w:hAnsi="SimSun" w:eastAsia="SimSun" w:cs="SimSun"/>
                <w:sz w:val="27"/>
                <w:szCs w:val="27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9"/>
              </w:rPr>
              <w:t>中有关正投影关系、线条宽度以及剖切标记的</w:t>
            </w:r>
            <w:r>
              <w:rPr>
                <w:rFonts w:ascii="SimSun" w:hAnsi="SimSun" w:eastAsia="SimSun" w:cs="SimSun"/>
                <w:sz w:val="27"/>
                <w:szCs w:val="27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8"/>
              </w:rPr>
              <w:t>规定绘制，并一粗细均匀的实线表达外观设计</w:t>
            </w:r>
            <w:r>
              <w:rPr>
                <w:rFonts w:ascii="SimSun" w:hAnsi="SimSun" w:eastAsia="SimSun" w:cs="SimSun"/>
                <w:sz w:val="27"/>
                <w:szCs w:val="27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27"/>
              </w:rPr>
              <w:t>的形状(如提交绘制图片)。</w:t>
            </w:r>
          </w:p>
        </w:tc>
        <w:tc>
          <w:tcPr>
            <w:tcW w:w="16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299" w:hRule="atLeast"/>
        </w:trPr>
        <w:tc>
          <w:tcPr>
            <w:tcW w:w="139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73" w:type="dxa"/>
            <w:vAlign w:val="top"/>
          </w:tcPr>
          <w:p>
            <w:pPr>
              <w:ind w:left="102" w:right="169"/>
              <w:spacing w:before="181"/>
              <w:jc w:val="both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3"/>
              </w:rPr>
              <w:t>6.照片满足：显示清晰、背景单一、拍摄遵循</w:t>
            </w:r>
            <w:r>
              <w:rPr>
                <w:rFonts w:ascii="SimSun" w:hAnsi="SimSun" w:eastAsia="SimSun" w:cs="SimSun"/>
                <w:sz w:val="27"/>
                <w:szCs w:val="27"/>
                <w:spacing w:val="16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9"/>
              </w:rPr>
              <w:t>正投影规则、无强烈光影影响、合理使用内衬</w:t>
            </w:r>
            <w:r>
              <w:rPr>
                <w:rFonts w:ascii="SimSun" w:hAnsi="SimSun" w:eastAsia="SimSun" w:cs="SimSun"/>
                <w:sz w:val="27"/>
                <w:szCs w:val="27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37"/>
              </w:rPr>
              <w:t>物(如涉及)的要求(如提交拍摄照片)。</w:t>
            </w:r>
          </w:p>
        </w:tc>
        <w:tc>
          <w:tcPr>
            <w:tcW w:w="16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90" w:hRule="atLeast"/>
        </w:trPr>
        <w:tc>
          <w:tcPr>
            <w:tcW w:w="139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73" w:type="dxa"/>
            <w:vAlign w:val="top"/>
          </w:tcPr>
          <w:p>
            <w:pPr>
              <w:ind w:left="102"/>
              <w:spacing w:before="113" w:line="220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9"/>
              </w:rPr>
              <w:t>7.图片或照片的各视图比例一致。</w:t>
            </w:r>
          </w:p>
        </w:tc>
        <w:tc>
          <w:tcPr>
            <w:tcW w:w="16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329" w:hRule="atLeast"/>
        </w:trPr>
        <w:tc>
          <w:tcPr>
            <w:tcW w:w="139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73" w:type="dxa"/>
            <w:vAlign w:val="top"/>
          </w:tcPr>
          <w:p>
            <w:pPr>
              <w:ind w:left="102" w:right="179"/>
              <w:spacing w:before="190" w:line="237" w:lineRule="auto"/>
              <w:jc w:val="both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7"/>
              </w:rPr>
              <w:t>8.如存在细长物品绘制省略中间长度时，正确</w:t>
            </w:r>
            <w:r>
              <w:rPr>
                <w:rFonts w:ascii="SimSun" w:hAnsi="SimSun" w:eastAsia="SimSun" w:cs="SimSun"/>
                <w:sz w:val="27"/>
                <w:szCs w:val="27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9"/>
              </w:rPr>
              <w:t>使用两条平行的双点划线或自然断裂线断开的</w:t>
            </w:r>
            <w:r>
              <w:rPr>
                <w:rFonts w:ascii="SimSun" w:hAnsi="SimSun" w:eastAsia="SimSun" w:cs="SimSun"/>
                <w:sz w:val="27"/>
                <w:szCs w:val="27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-11"/>
              </w:rPr>
              <w:t>画</w:t>
            </w:r>
            <w:r>
              <w:rPr>
                <w:rFonts w:ascii="SimSun" w:hAnsi="SimSun" w:eastAsia="SimSun" w:cs="SimSun"/>
                <w:sz w:val="27"/>
                <w:szCs w:val="27"/>
                <w:spacing w:val="-26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-11"/>
              </w:rPr>
              <w:t>法</w:t>
            </w:r>
            <w:r>
              <w:rPr>
                <w:rFonts w:ascii="SimSun" w:hAnsi="SimSun" w:eastAsia="SimSun" w:cs="SimSun"/>
                <w:sz w:val="27"/>
                <w:szCs w:val="27"/>
                <w:spacing w:val="-38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-11"/>
              </w:rPr>
              <w:t>。</w:t>
            </w:r>
          </w:p>
        </w:tc>
        <w:tc>
          <w:tcPr>
            <w:tcW w:w="16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49" w:hRule="atLeast"/>
        </w:trPr>
        <w:tc>
          <w:tcPr>
            <w:tcW w:w="139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73" w:type="dxa"/>
            <w:vAlign w:val="top"/>
          </w:tcPr>
          <w:p>
            <w:pPr>
              <w:ind w:left="102" w:right="204"/>
              <w:spacing w:before="184" w:line="236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7"/>
              </w:rPr>
              <w:t>9.如存在剖视图，剖面线、剖切位置线、符号</w:t>
            </w:r>
            <w:r>
              <w:rPr>
                <w:rFonts w:ascii="SimSun" w:hAnsi="SimSun" w:eastAsia="SimSun" w:cs="SimSun"/>
                <w:sz w:val="27"/>
                <w:szCs w:val="27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22"/>
              </w:rPr>
              <w:t>及方向完整。</w:t>
            </w:r>
          </w:p>
        </w:tc>
        <w:tc>
          <w:tcPr>
            <w:tcW w:w="16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59" w:hRule="atLeast"/>
        </w:trPr>
        <w:tc>
          <w:tcPr>
            <w:tcW w:w="139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73" w:type="dxa"/>
            <w:vAlign w:val="top"/>
          </w:tcPr>
          <w:p>
            <w:pPr>
              <w:ind w:left="102" w:right="110"/>
              <w:spacing w:before="185" w:line="229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5"/>
              </w:rPr>
              <w:t>10.如存在局部放大图，已在有关视图中标出放</w:t>
            </w:r>
            <w:r>
              <w:rPr>
                <w:rFonts w:ascii="SimSun" w:hAnsi="SimSun" w:eastAsia="SimSun" w:cs="SimSun"/>
                <w:sz w:val="27"/>
                <w:szCs w:val="27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26"/>
              </w:rPr>
              <w:t>大的部位。</w:t>
            </w:r>
          </w:p>
        </w:tc>
        <w:tc>
          <w:tcPr>
            <w:tcW w:w="16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319" w:hRule="atLeast"/>
        </w:trPr>
        <w:tc>
          <w:tcPr>
            <w:tcW w:w="139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73" w:type="dxa"/>
            <w:vAlign w:val="top"/>
          </w:tcPr>
          <w:p>
            <w:pPr>
              <w:ind w:left="102" w:right="213"/>
              <w:spacing w:before="187" w:line="239" w:lineRule="auto"/>
              <w:jc w:val="both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7"/>
              </w:rPr>
              <w:t>11.组装关系唯一的组件产品有组合状态的视</w:t>
            </w:r>
            <w:r>
              <w:rPr>
                <w:rFonts w:ascii="SimSun" w:hAnsi="SimSun" w:eastAsia="SimSun" w:cs="SimSun"/>
                <w:sz w:val="27"/>
                <w:szCs w:val="27"/>
                <w:spacing w:val="8"/>
              </w:rPr>
              <w:t xml:space="preserve">  </w:t>
            </w:r>
            <w:r>
              <w:rPr>
                <w:rFonts w:ascii="SimSun" w:hAnsi="SimSun" w:eastAsia="SimSun" w:cs="SimSun"/>
                <w:sz w:val="27"/>
                <w:szCs w:val="27"/>
                <w:spacing w:val="7"/>
              </w:rPr>
              <w:t>图；无组装关系或组装关系不唯一的组件产品</w:t>
            </w:r>
            <w:r>
              <w:rPr>
                <w:rFonts w:ascii="SimSun" w:hAnsi="SimSun" w:eastAsia="SimSun" w:cs="SimSun"/>
                <w:sz w:val="27"/>
                <w:szCs w:val="27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9"/>
              </w:rPr>
              <w:t>不缺少必要的单个构件的视图。</w:t>
            </w:r>
          </w:p>
        </w:tc>
        <w:tc>
          <w:tcPr>
            <w:tcW w:w="16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19" w:hRule="atLeast"/>
        </w:trPr>
        <w:tc>
          <w:tcPr>
            <w:tcW w:w="1393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73" w:type="dxa"/>
            <w:vAlign w:val="top"/>
          </w:tcPr>
          <w:p>
            <w:pPr>
              <w:ind w:left="102" w:right="86" w:firstLine="10"/>
              <w:spacing w:before="216" w:line="233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5"/>
              </w:rPr>
              <w:t>12.透明产品的外观设计，外层与内层有两种以</w:t>
            </w:r>
            <w:r>
              <w:rPr>
                <w:rFonts w:ascii="SimSun" w:hAnsi="SimSun" w:eastAsia="SimSun" w:cs="SimSun"/>
                <w:sz w:val="27"/>
                <w:szCs w:val="27"/>
                <w:spacing w:val="18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8"/>
              </w:rPr>
              <w:t>上形状、图案和色彩时，分别表示出来。</w:t>
            </w:r>
          </w:p>
        </w:tc>
        <w:tc>
          <w:tcPr>
            <w:tcW w:w="16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0" w:hRule="atLeast"/>
        </w:trPr>
        <w:tc>
          <w:tcPr>
            <w:tcW w:w="1393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ind w:left="115"/>
              <w:spacing w:before="88" w:line="219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7"/>
              </w:rPr>
              <w:t>简要说明</w:t>
            </w:r>
          </w:p>
        </w:tc>
        <w:tc>
          <w:tcPr>
            <w:tcW w:w="5873" w:type="dxa"/>
            <w:vAlign w:val="top"/>
          </w:tcPr>
          <w:p>
            <w:pPr>
              <w:ind w:left="102"/>
              <w:spacing w:before="139" w:line="220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10"/>
              </w:rPr>
              <w:t>1.正确填写外观设计名称。</w:t>
            </w:r>
          </w:p>
        </w:tc>
        <w:tc>
          <w:tcPr>
            <w:tcW w:w="16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19" w:hRule="atLeast"/>
        </w:trPr>
        <w:tc>
          <w:tcPr>
            <w:tcW w:w="139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73" w:type="dxa"/>
            <w:vAlign w:val="top"/>
          </w:tcPr>
          <w:p>
            <w:pPr>
              <w:ind w:left="102"/>
              <w:spacing w:before="138" w:line="219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8"/>
              </w:rPr>
              <w:t>2.准确填写外观设计产品的用途。</w:t>
            </w:r>
          </w:p>
        </w:tc>
        <w:tc>
          <w:tcPr>
            <w:tcW w:w="16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20" w:hRule="atLeast"/>
        </w:trPr>
        <w:tc>
          <w:tcPr>
            <w:tcW w:w="139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73" w:type="dxa"/>
            <w:vAlign w:val="top"/>
          </w:tcPr>
          <w:p>
            <w:pPr>
              <w:ind w:left="102"/>
              <w:spacing w:before="140" w:line="220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8"/>
              </w:rPr>
              <w:t>3.准确填写外观设计的设计要点。</w:t>
            </w:r>
          </w:p>
        </w:tc>
        <w:tc>
          <w:tcPr>
            <w:tcW w:w="16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49" w:hRule="atLeast"/>
        </w:trPr>
        <w:tc>
          <w:tcPr>
            <w:tcW w:w="139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73" w:type="dxa"/>
            <w:vAlign w:val="top"/>
          </w:tcPr>
          <w:p>
            <w:pPr>
              <w:ind w:left="102" w:right="178"/>
              <w:spacing w:before="227" w:line="234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8"/>
              </w:rPr>
              <w:t>4.准确指定一幅最能表明设计要点的图片或照</w:t>
            </w:r>
            <w:r>
              <w:rPr>
                <w:rFonts w:ascii="SimSun" w:hAnsi="SimSun" w:eastAsia="SimSun" w:cs="SimSun"/>
                <w:sz w:val="27"/>
                <w:szCs w:val="27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-9"/>
              </w:rPr>
              <w:t>片</w:t>
            </w:r>
            <w:r>
              <w:rPr>
                <w:rFonts w:ascii="SimSun" w:hAnsi="SimSun" w:eastAsia="SimSun" w:cs="SimSun"/>
                <w:sz w:val="27"/>
                <w:szCs w:val="27"/>
                <w:spacing w:val="56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-9"/>
              </w:rPr>
              <w:t>。</w:t>
            </w:r>
          </w:p>
        </w:tc>
        <w:tc>
          <w:tcPr>
            <w:tcW w:w="16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84" w:hRule="atLeast"/>
        </w:trPr>
        <w:tc>
          <w:tcPr>
            <w:tcW w:w="1393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73" w:type="dxa"/>
            <w:vAlign w:val="top"/>
          </w:tcPr>
          <w:p>
            <w:pPr>
              <w:ind w:left="102" w:right="207"/>
              <w:spacing w:before="209" w:line="243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7"/>
              </w:rPr>
              <w:t>5.简要说明没有使用商业性宣传用语，也没有</w:t>
            </w:r>
            <w:r>
              <w:rPr>
                <w:rFonts w:ascii="SimSun" w:hAnsi="SimSun" w:eastAsia="SimSun" w:cs="SimSun"/>
                <w:sz w:val="27"/>
                <w:szCs w:val="27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8"/>
              </w:rPr>
              <w:t>用来说明产品的性能和内部结构。</w:t>
            </w:r>
          </w:p>
        </w:tc>
        <w:tc>
          <w:tcPr>
            <w:tcW w:w="16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4"/>
          <w:pgSz w:w="11910" w:h="16840"/>
          <w:pgMar w:top="1431" w:right="1465" w:bottom="1123" w:left="1544" w:header="0" w:footer="835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120" w:lineRule="exact"/>
        <w:rPr/>
      </w:pPr>
      <w:r/>
    </w:p>
    <w:tbl>
      <w:tblPr>
        <w:tblStyle w:val="2"/>
        <w:tblW w:w="890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403"/>
        <w:gridCol w:w="5883"/>
        <w:gridCol w:w="1623"/>
      </w:tblGrid>
      <w:tr>
        <w:trPr>
          <w:trHeight w:val="2348" w:hRule="atLeast"/>
        </w:trPr>
        <w:tc>
          <w:tcPr>
            <w:tcW w:w="1403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ind w:left="284" w:right="148" w:hanging="129"/>
              <w:spacing w:before="87" w:line="239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2"/>
              </w:rPr>
              <w:t>专利代理</w:t>
            </w:r>
            <w:r>
              <w:rPr>
                <w:rFonts w:ascii="SimSun" w:hAnsi="SimSun" w:eastAsia="SimSun" w:cs="SimSun"/>
                <w:sz w:val="27"/>
                <w:szCs w:val="27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5"/>
              </w:rPr>
              <w:t>委托书</w:t>
            </w:r>
          </w:p>
        </w:tc>
        <w:tc>
          <w:tcPr>
            <w:tcW w:w="5883" w:type="dxa"/>
            <w:vAlign w:val="top"/>
          </w:tcPr>
          <w:p>
            <w:pPr>
              <w:ind w:left="132"/>
              <w:spacing w:before="148" w:line="255" w:lineRule="auto"/>
              <w:rPr>
                <w:rFonts w:ascii="SimSun" w:hAnsi="SimSun" w:eastAsia="SimSun" w:cs="SimSun"/>
                <w:sz w:val="26"/>
                <w:szCs w:val="26"/>
              </w:rPr>
            </w:pPr>
            <w:r>
              <w:rPr>
                <w:rFonts w:ascii="SimSun" w:hAnsi="SimSun" w:eastAsia="SimSun" w:cs="SimSun"/>
                <w:sz w:val="26"/>
                <w:szCs w:val="26"/>
                <w:spacing w:val="9"/>
              </w:rPr>
              <w:t>1.申请人委托专利代理机构的，应当提交委托</w:t>
            </w:r>
            <w:r>
              <w:rPr>
                <w:rFonts w:ascii="SimSun" w:hAnsi="SimSun" w:eastAsia="SimSun" w:cs="SimSun"/>
                <w:sz w:val="26"/>
                <w:szCs w:val="26"/>
                <w:spacing w:val="3"/>
              </w:rPr>
              <w:t xml:space="preserve">   </w:t>
            </w:r>
            <w:r>
              <w:rPr>
                <w:rFonts w:ascii="SimSun" w:hAnsi="SimSun" w:eastAsia="SimSun" w:cs="SimSun"/>
                <w:sz w:val="26"/>
                <w:szCs w:val="26"/>
                <w:spacing w:val="13"/>
              </w:rPr>
              <w:t>书。委托书应当写明委托权限、发明创造名称、</w:t>
            </w:r>
            <w:r>
              <w:rPr>
                <w:rFonts w:ascii="SimSun" w:hAnsi="SimSun" w:eastAsia="SimSun" w:cs="SimSun"/>
                <w:sz w:val="26"/>
                <w:szCs w:val="26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6"/>
                <w:szCs w:val="26"/>
                <w:spacing w:val="12"/>
              </w:rPr>
              <w:t>专利代理机构名称、专利代理人姓名，并应当</w:t>
            </w:r>
            <w:r>
              <w:rPr>
                <w:rFonts w:ascii="SimSun" w:hAnsi="SimSun" w:eastAsia="SimSun" w:cs="SimSun"/>
                <w:sz w:val="26"/>
                <w:szCs w:val="26"/>
                <w:spacing w:val="4"/>
              </w:rPr>
              <w:t xml:space="preserve">   </w:t>
            </w:r>
            <w:r>
              <w:rPr>
                <w:rFonts w:ascii="SimSun" w:hAnsi="SimSun" w:eastAsia="SimSun" w:cs="SimSun"/>
                <w:sz w:val="26"/>
                <w:szCs w:val="26"/>
                <w:spacing w:val="12"/>
              </w:rPr>
              <w:t>与请求书中填写的内容相一致。申请人已向专</w:t>
            </w:r>
            <w:r>
              <w:rPr>
                <w:rFonts w:ascii="SimSun" w:hAnsi="SimSun" w:eastAsia="SimSun" w:cs="SimSun"/>
                <w:sz w:val="26"/>
                <w:szCs w:val="26"/>
                <w:spacing w:val="1"/>
              </w:rPr>
              <w:t xml:space="preserve">   </w:t>
            </w:r>
            <w:r>
              <w:rPr>
                <w:rFonts w:ascii="SimSun" w:hAnsi="SimSun" w:eastAsia="SimSun" w:cs="SimSun"/>
                <w:sz w:val="26"/>
                <w:szCs w:val="26"/>
                <w:spacing w:val="13"/>
              </w:rPr>
              <w:t>利局交存总委托书的，可以不再提交专利代理</w:t>
            </w:r>
            <w:r>
              <w:rPr>
                <w:rFonts w:ascii="SimSun" w:hAnsi="SimSun" w:eastAsia="SimSun" w:cs="SimSun"/>
                <w:sz w:val="26"/>
                <w:szCs w:val="26"/>
                <w:spacing w:val="6"/>
              </w:rPr>
              <w:t xml:space="preserve">   </w:t>
            </w:r>
            <w:r>
              <w:rPr>
                <w:rFonts w:ascii="SimSun" w:hAnsi="SimSun" w:eastAsia="SimSun" w:cs="SimSun"/>
                <w:sz w:val="26"/>
                <w:szCs w:val="26"/>
                <w:spacing w:val="11"/>
              </w:rPr>
              <w:t>委托书原件，而提交总委托书编号及备案回执。</w:t>
            </w:r>
          </w:p>
        </w:tc>
        <w:tc>
          <w:tcPr>
            <w:tcW w:w="16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52" w:hRule="atLeast"/>
        </w:trPr>
        <w:tc>
          <w:tcPr>
            <w:tcW w:w="1403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83" w:type="dxa"/>
            <w:vAlign w:val="top"/>
          </w:tcPr>
          <w:p>
            <w:pPr>
              <w:ind w:left="132" w:right="209"/>
              <w:spacing w:before="197" w:line="222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6"/>
              </w:rPr>
              <w:t>2.申请人有两个以上的，应当由全体申请人签</w:t>
            </w:r>
            <w:r>
              <w:rPr>
                <w:rFonts w:ascii="SimSun" w:hAnsi="SimSun" w:eastAsia="SimSun" w:cs="SimSun"/>
                <w:sz w:val="27"/>
                <w:szCs w:val="27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22"/>
              </w:rPr>
              <w:t>字或者盖章。</w:t>
            </w:r>
          </w:p>
        </w:tc>
        <w:tc>
          <w:tcPr>
            <w:tcW w:w="16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ind w:left="35"/>
        <w:spacing w:before="54" w:line="220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22"/>
        </w:rPr>
        <w:t>注意事项：</w:t>
      </w:r>
    </w:p>
    <w:p>
      <w:pPr>
        <w:ind w:left="658"/>
        <w:spacing w:before="10" w:line="220" w:lineRule="auto"/>
        <w:outlineLvl w:val="1"/>
        <w:rPr>
          <w:rFonts w:ascii="FangSong" w:hAnsi="FangSong" w:eastAsia="FangSong" w:cs="FangSong"/>
          <w:sz w:val="27"/>
          <w:szCs w:val="27"/>
        </w:rPr>
      </w:pPr>
      <w:r>
        <w:rPr>
          <w:rFonts w:ascii="FangSong" w:hAnsi="FangSong" w:eastAsia="FangSong" w:cs="FangSong"/>
          <w:sz w:val="27"/>
          <w:szCs w:val="27"/>
          <w:b/>
          <w:bCs/>
          <w:spacing w:val="-30"/>
        </w:rPr>
        <w:t>1.自检结果符合要求请划“</w:t>
      </w:r>
      <w:r>
        <w:rPr>
          <w:rFonts w:ascii="FangSong" w:hAnsi="FangSong" w:eastAsia="FangSong" w:cs="FangSong"/>
          <w:sz w:val="27"/>
          <w:szCs w:val="27"/>
          <w:spacing w:val="-66"/>
        </w:rPr>
        <w:t xml:space="preserve"> </w:t>
      </w:r>
      <w:r>
        <w:rPr>
          <w:rFonts w:ascii="FangSong" w:hAnsi="FangSong" w:eastAsia="FangSong" w:cs="FangSong"/>
          <w:sz w:val="27"/>
          <w:szCs w:val="27"/>
          <w:b/>
          <w:bCs/>
          <w:spacing w:val="-30"/>
        </w:rPr>
        <w:t>√”,</w:t>
      </w:r>
      <w:r>
        <w:rPr>
          <w:rFonts w:ascii="FangSong" w:hAnsi="FangSong" w:eastAsia="FangSong" w:cs="FangSong"/>
          <w:sz w:val="27"/>
          <w:szCs w:val="27"/>
          <w:spacing w:val="-45"/>
        </w:rPr>
        <w:t xml:space="preserve"> </w:t>
      </w:r>
      <w:r>
        <w:rPr>
          <w:rFonts w:ascii="FangSong" w:hAnsi="FangSong" w:eastAsia="FangSong" w:cs="FangSong"/>
          <w:sz w:val="27"/>
          <w:szCs w:val="27"/>
          <w:b/>
          <w:bCs/>
          <w:spacing w:val="-30"/>
        </w:rPr>
        <w:t>WORD</w:t>
      </w:r>
      <w:r>
        <w:rPr>
          <w:rFonts w:ascii="FangSong" w:hAnsi="FangSong" w:eastAsia="FangSong" w:cs="FangSong"/>
          <w:sz w:val="27"/>
          <w:szCs w:val="27"/>
          <w:spacing w:val="10"/>
        </w:rPr>
        <w:t xml:space="preserve">  </w:t>
      </w:r>
      <w:r>
        <w:rPr>
          <w:rFonts w:ascii="FangSong" w:hAnsi="FangSong" w:eastAsia="FangSong" w:cs="FangSong"/>
          <w:sz w:val="27"/>
          <w:szCs w:val="27"/>
          <w:b/>
          <w:bCs/>
          <w:spacing w:val="-30"/>
        </w:rPr>
        <w:t>版本和扫</w:t>
      </w:r>
      <w:r>
        <w:rPr>
          <w:rFonts w:ascii="FangSong" w:hAnsi="FangSong" w:eastAsia="FangSong" w:cs="FangSong"/>
          <w:sz w:val="27"/>
          <w:szCs w:val="27"/>
          <w:b/>
          <w:bCs/>
          <w:spacing w:val="-31"/>
        </w:rPr>
        <w:t>描版本都为有效。</w:t>
      </w:r>
    </w:p>
    <w:p>
      <w:pPr>
        <w:ind w:left="748" w:right="25" w:hanging="93"/>
        <w:spacing w:before="9" w:line="207" w:lineRule="auto"/>
        <w:rPr>
          <w:rFonts w:ascii="FangSong" w:hAnsi="FangSong" w:eastAsia="FangSong" w:cs="FangSong"/>
          <w:sz w:val="27"/>
          <w:szCs w:val="27"/>
        </w:rPr>
      </w:pPr>
      <w:r>
        <w:rPr>
          <w:rFonts w:ascii="Times New Roman" w:hAnsi="Times New Roman" w:eastAsia="Times New Roman" w:cs="Times New Roman"/>
          <w:sz w:val="27"/>
          <w:szCs w:val="27"/>
          <w:b/>
          <w:bCs/>
          <w:spacing w:val="-33"/>
        </w:rPr>
        <w:t>2.</w:t>
      </w:r>
      <w:r>
        <w:rPr>
          <w:rFonts w:ascii="FangSong" w:hAnsi="FangSong" w:eastAsia="FangSong" w:cs="FangSong"/>
          <w:sz w:val="27"/>
          <w:szCs w:val="27"/>
          <w:b/>
          <w:bCs/>
          <w:spacing w:val="-33"/>
        </w:rPr>
        <w:t>受理领域范围：属于海洋或者新一代信息技术产业领域，具体以分类号</w:t>
      </w:r>
      <w:r>
        <w:rPr>
          <w:rFonts w:ascii="FangSong" w:hAnsi="FangSong" w:eastAsia="FangSong" w:cs="FangSong"/>
          <w:sz w:val="27"/>
          <w:szCs w:val="27"/>
          <w:spacing w:val="-33"/>
        </w:rPr>
        <w:t>为准。</w:t>
      </w:r>
      <w:r>
        <w:rPr>
          <w:rFonts w:ascii="FangSong" w:hAnsi="FangSong" w:eastAsia="FangSong" w:cs="FangSong"/>
          <w:sz w:val="27"/>
          <w:szCs w:val="27"/>
          <w:spacing w:val="1"/>
        </w:rPr>
        <w:t xml:space="preserve"> </w:t>
      </w:r>
      <w:r>
        <w:rPr>
          <w:rFonts w:ascii="FangSong" w:hAnsi="FangSong" w:eastAsia="FangSong" w:cs="FangSong"/>
          <w:sz w:val="27"/>
          <w:szCs w:val="27"/>
          <w:b/>
          <w:bCs/>
          <w:spacing w:val="-33"/>
        </w:rPr>
        <w:t>自检单位应认真检查并填写自检表，所列自检项目全部符合要求的方可提交预</w:t>
      </w:r>
    </w:p>
    <w:p>
      <w:pPr>
        <w:ind w:left="45"/>
        <w:spacing w:line="222" w:lineRule="auto"/>
        <w:rPr>
          <w:rFonts w:ascii="FangSong" w:hAnsi="FangSong" w:eastAsia="FangSong" w:cs="FangSong"/>
          <w:sz w:val="27"/>
          <w:szCs w:val="27"/>
        </w:rPr>
      </w:pPr>
      <w:r>
        <w:rPr>
          <w:rFonts w:ascii="FangSong" w:hAnsi="FangSong" w:eastAsia="FangSong" w:cs="FangSong"/>
          <w:sz w:val="27"/>
          <w:szCs w:val="27"/>
          <w:spacing w:val="-19"/>
        </w:rPr>
        <w:t>审。</w:t>
      </w:r>
    </w:p>
    <w:p>
      <w:pPr>
        <w:ind w:left="655"/>
        <w:spacing w:before="112" w:line="490" w:lineRule="exact"/>
        <w:rPr>
          <w:rFonts w:ascii="FangSong" w:hAnsi="FangSong" w:eastAsia="FangSong" w:cs="FangSong"/>
          <w:sz w:val="27"/>
          <w:szCs w:val="27"/>
        </w:rPr>
      </w:pPr>
      <w:r>
        <w:rPr>
          <w:rFonts w:ascii="FangSong" w:hAnsi="FangSong" w:eastAsia="FangSong" w:cs="FangSong"/>
          <w:sz w:val="27"/>
          <w:szCs w:val="27"/>
          <w:spacing w:val="27"/>
          <w:position w:val="16"/>
        </w:rPr>
        <w:t>自检单位名称(加盖公章):</w:t>
      </w:r>
    </w:p>
    <w:p>
      <w:pPr>
        <w:ind w:left="655"/>
        <w:spacing w:line="220" w:lineRule="auto"/>
        <w:rPr>
          <w:rFonts w:ascii="FangSong" w:hAnsi="FangSong" w:eastAsia="FangSong" w:cs="FangSong"/>
          <w:sz w:val="27"/>
          <w:szCs w:val="27"/>
        </w:rPr>
      </w:pPr>
      <w:r>
        <w:rPr>
          <w:rFonts w:ascii="FangSong" w:hAnsi="FangSong" w:eastAsia="FangSong" w:cs="FangSong"/>
          <w:sz w:val="27"/>
          <w:szCs w:val="27"/>
          <w:spacing w:val="-5"/>
        </w:rPr>
        <w:t>自检人姓名：</w:t>
      </w:r>
    </w:p>
    <w:p>
      <w:pPr>
        <w:ind w:left="655"/>
        <w:spacing w:before="168" w:line="490" w:lineRule="exact"/>
        <w:rPr>
          <w:rFonts w:ascii="FangSong" w:hAnsi="FangSong" w:eastAsia="FangSong" w:cs="FangSong"/>
          <w:sz w:val="27"/>
          <w:szCs w:val="27"/>
        </w:rPr>
      </w:pPr>
      <w:r>
        <w:rPr>
          <w:rFonts w:ascii="FangSong" w:hAnsi="FangSong" w:eastAsia="FangSong" w:cs="FangSong"/>
          <w:sz w:val="27"/>
          <w:szCs w:val="27"/>
          <w:spacing w:val="-3"/>
          <w:position w:val="16"/>
        </w:rPr>
        <w:t>自检人联系电话：</w:t>
      </w:r>
    </w:p>
    <w:p>
      <w:pPr>
        <w:ind w:left="655"/>
        <w:spacing w:line="220" w:lineRule="auto"/>
        <w:rPr>
          <w:rFonts w:ascii="FangSong" w:hAnsi="FangSong" w:eastAsia="FangSong" w:cs="FangSong"/>
          <w:sz w:val="27"/>
          <w:szCs w:val="27"/>
        </w:rPr>
      </w:pPr>
      <w:r>
        <w:rPr>
          <w:rFonts w:ascii="FangSong" w:hAnsi="FangSong" w:eastAsia="FangSong" w:cs="FangSong"/>
          <w:sz w:val="27"/>
          <w:szCs w:val="27"/>
          <w:spacing w:val="-6"/>
        </w:rPr>
        <w:t>自检日期：</w:t>
      </w:r>
    </w:p>
    <w:p>
      <w:pPr>
        <w:ind w:left="71"/>
        <w:spacing w:before="199" w:line="213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i/>
          <w:iCs/>
          <w:u w:val="single" w:color="auto"/>
          <w:spacing w:val="-2"/>
        </w:rPr>
        <w:t>注：自检单位指实际提交单位，如委托代理机构申请的填写代理机构</w:t>
      </w:r>
      <w:r>
        <w:rPr>
          <w:rFonts w:ascii="FangSong" w:hAnsi="FangSong" w:eastAsia="FangSong" w:cs="FangSong"/>
          <w:sz w:val="28"/>
          <w:szCs w:val="28"/>
          <w:i/>
          <w:iCs/>
          <w:u w:val="single" w:color="auto"/>
          <w:spacing w:val="-3"/>
        </w:rPr>
        <w:t>信息</w:t>
      </w:r>
    </w:p>
    <w:p>
      <w:pPr>
        <w:sectPr>
          <w:footerReference w:type="default" r:id="rId25"/>
          <w:pgSz w:w="11910" w:h="16840"/>
          <w:pgMar w:top="1431" w:right="1419" w:bottom="1089" w:left="1524" w:header="0" w:footer="821" w:gutter="0"/>
        </w:sectPr>
        <w:rPr/>
      </w:pPr>
    </w:p>
    <w:p>
      <w:pPr>
        <w:rPr>
          <w:rFonts w:ascii="Arial"/>
          <w:sz w:val="21"/>
        </w:rPr>
      </w:pPr>
      <w:r>
        <w:drawing>
          <wp:anchor distT="0" distB="0" distL="0" distR="0" simplePos="0" relativeHeight="251682816" behindDoc="0" locked="0" layoutInCell="0" allowOverlap="1">
            <wp:simplePos x="0" y="0"/>
            <wp:positionH relativeFrom="page">
              <wp:posOffset>984229</wp:posOffset>
            </wp:positionH>
            <wp:positionV relativeFrom="page">
              <wp:posOffset>9175773</wp:posOffset>
            </wp:positionV>
            <wp:extent cx="5657843" cy="6350"/>
            <wp:effectExtent l="0" t="0" r="0" b="0"/>
            <wp:wrapNone/>
            <wp:docPr id="3" name="IM 3"/>
            <wp:cNvGraphicFramePr/>
            <a:graphic>
              <a:graphicData uri="http://schemas.openxmlformats.org/drawingml/2006/picture">
                <pic:pic>
                  <pic:nvPicPr>
                    <pic:cNvPr id="3" name="IM 3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657843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0" locked="0" layoutInCell="0" allowOverlap="1">
            <wp:simplePos x="0" y="0"/>
            <wp:positionH relativeFrom="page">
              <wp:posOffset>984229</wp:posOffset>
            </wp:positionH>
            <wp:positionV relativeFrom="page">
              <wp:posOffset>9556777</wp:posOffset>
            </wp:positionV>
            <wp:extent cx="5676902" cy="6350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67690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ind w:left="430"/>
        <w:spacing w:before="85" w:line="222" w:lineRule="auto"/>
        <w:rPr>
          <w:rFonts w:ascii="FangSong" w:hAnsi="FangSong" w:eastAsia="FangSong" w:cs="FangSong"/>
          <w:sz w:val="26"/>
          <w:szCs w:val="26"/>
        </w:rPr>
      </w:pPr>
      <w:r>
        <w:rPr>
          <w:rFonts w:ascii="FangSong" w:hAnsi="FangSong" w:eastAsia="FangSong" w:cs="FangSong"/>
          <w:sz w:val="26"/>
          <w:szCs w:val="26"/>
          <w:spacing w:val="29"/>
        </w:rPr>
        <w:t>山东省国家知识产权保护中心</w:t>
      </w:r>
      <w:r>
        <w:rPr>
          <w:rFonts w:ascii="FangSong" w:hAnsi="FangSong" w:eastAsia="FangSong" w:cs="FangSong"/>
          <w:sz w:val="26"/>
          <w:szCs w:val="26"/>
          <w:spacing w:val="10"/>
        </w:rPr>
        <w:t xml:space="preserve">            </w:t>
      </w:r>
      <w:r>
        <w:rPr>
          <w:rFonts w:ascii="FangSong" w:hAnsi="FangSong" w:eastAsia="FangSong" w:cs="FangSong"/>
          <w:sz w:val="26"/>
          <w:szCs w:val="26"/>
          <w:spacing w:val="29"/>
        </w:rPr>
        <w:t>2023年10月10日印发</w:t>
      </w:r>
    </w:p>
    <w:sectPr>
      <w:footerReference w:type="default" r:id="rId11"/>
      <w:pgSz w:w="11910" w:h="16840"/>
      <w:pgMar w:top="1431" w:right="1420" w:bottom="400" w:left="1549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275"/>
      <w:spacing w:before="1" w:line="183" w:lineRule="auto"/>
      <w:jc w:val="right"/>
      <w:rPr>
        <w:rFonts w:ascii="SimSun" w:hAnsi="SimSun" w:eastAsia="SimSun" w:cs="SimSun"/>
        <w:sz w:val="33"/>
        <w:szCs w:val="33"/>
      </w:rPr>
    </w:pPr>
    <w:r>
      <w:rPr>
        <w:rFonts w:ascii="SimSun" w:hAnsi="SimSun" w:eastAsia="SimSun" w:cs="SimSun"/>
        <w:sz w:val="33"/>
        <w:szCs w:val="33"/>
        <w:color w:val="F51800"/>
        <w:spacing w:val="-16"/>
      </w:rPr>
      <w:t>—</w:t>
    </w:r>
    <w:r>
      <w:rPr>
        <w:rFonts w:ascii="SimSun" w:hAnsi="SimSun" w:eastAsia="SimSun" w:cs="SimSun"/>
        <w:sz w:val="33"/>
        <w:szCs w:val="33"/>
        <w:color w:val="F51800"/>
        <w:spacing w:val="-128"/>
      </w:rPr>
      <w:t xml:space="preserve"> </w:t>
    </w:r>
    <w:r>
      <w:rPr>
        <w:rFonts w:ascii="SimSun" w:hAnsi="SimSun" w:eastAsia="SimSun" w:cs="SimSun"/>
        <w:sz w:val="33"/>
        <w:szCs w:val="33"/>
        <w:color w:val="F51800"/>
        <w:spacing w:val="-16"/>
      </w:rPr>
      <w:t>1—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82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4"/>
      </w:rPr>
      <w:t>—2—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229"/>
      <w:spacing w:line="183" w:lineRule="auto"/>
      <w:jc w:val="right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4"/>
      </w:rPr>
      <w:t>—3—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82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4"/>
      </w:rPr>
      <w:t>—4—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289"/>
      <w:spacing w:before="1" w:line="181" w:lineRule="auto"/>
      <w:jc w:val="right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4"/>
      </w:rPr>
      <w:t>—5—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83" w:lineRule="auto"/>
      <w:rPr>
        <w:rFonts w:ascii="SimSun" w:hAnsi="SimSun" w:eastAsia="SimSun" w:cs="SimSun"/>
        <w:sz w:val="30"/>
        <w:szCs w:val="30"/>
      </w:rPr>
    </w:pPr>
    <w:r>
      <w:rPr>
        <w:rFonts w:ascii="SimSun" w:hAnsi="SimSun" w:eastAsia="SimSun" w:cs="SimSun"/>
        <w:sz w:val="30"/>
        <w:szCs w:val="30"/>
        <w:spacing w:val="-4"/>
      </w:rPr>
      <w:t>—6—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338"/>
      <w:spacing w:before="1" w:line="181" w:lineRule="auto"/>
      <w:jc w:val="righ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3"/>
      </w:rPr>
      <w:t>—7—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4"/>
      <w:spacing w:line="183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4"/>
      </w:rPr>
      <w:t>—8—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83" w:lineRule="auto"/>
      <w:rPr>
        <w:rFonts w:ascii="SimSun" w:hAnsi="SimSun" w:eastAsia="SimSun" w:cs="SimSun"/>
        <w:sz w:val="29"/>
        <w:szCs w:val="29"/>
      </w:rPr>
    </w:pPr>
    <w:r>
      <w:rPr>
        <w:rFonts w:ascii="SimSun" w:hAnsi="SimSun" w:eastAsia="SimSun" w:cs="SimSun"/>
        <w:sz w:val="29"/>
        <w:szCs w:val="29"/>
        <w:spacing w:val="-11"/>
      </w:rPr>
      <w:t>—</w:t>
    </w:r>
    <w:r>
      <w:rPr>
        <w:rFonts w:ascii="SimSun" w:hAnsi="SimSun" w:eastAsia="SimSun" w:cs="SimSun"/>
        <w:sz w:val="29"/>
        <w:szCs w:val="29"/>
        <w:spacing w:val="-111"/>
      </w:rPr>
      <w:t xml:space="preserve"> </w:t>
    </w:r>
    <w:r>
      <w:rPr>
        <w:rFonts w:ascii="SimSun" w:hAnsi="SimSun" w:eastAsia="SimSun" w:cs="SimSun"/>
        <w:sz w:val="29"/>
        <w:szCs w:val="29"/>
        <w:spacing w:val="-11"/>
      </w:rPr>
      <w:t>10—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244"/>
      <w:spacing w:before="1" w:line="183" w:lineRule="auto"/>
      <w:jc w:val="right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12"/>
      </w:rPr>
      <w:t>—</w:t>
    </w:r>
    <w:r>
      <w:rPr>
        <w:rFonts w:ascii="SimSun" w:hAnsi="SimSun" w:eastAsia="SimSun" w:cs="SimSun"/>
        <w:sz w:val="31"/>
        <w:szCs w:val="31"/>
        <w:spacing w:val="-118"/>
      </w:rPr>
      <w:t xml:space="preserve"> </w:t>
    </w:r>
    <w:r>
      <w:rPr>
        <w:rFonts w:ascii="SimSun" w:hAnsi="SimSun" w:eastAsia="SimSun" w:cs="SimSun"/>
        <w:sz w:val="31"/>
        <w:szCs w:val="31"/>
        <w:spacing w:val="-12"/>
      </w:rPr>
      <w:t>11—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83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12"/>
      </w:rPr>
      <w:t>—</w:t>
    </w:r>
    <w:r>
      <w:rPr>
        <w:rFonts w:ascii="SimSun" w:hAnsi="SimSun" w:eastAsia="SimSun" w:cs="SimSun"/>
        <w:sz w:val="31"/>
        <w:szCs w:val="31"/>
        <w:spacing w:val="-118"/>
      </w:rPr>
      <w:t xml:space="preserve"> </w:t>
    </w:r>
    <w:r>
      <w:rPr>
        <w:rFonts w:ascii="SimSun" w:hAnsi="SimSun" w:eastAsia="SimSun" w:cs="SimSun"/>
        <w:sz w:val="31"/>
        <w:szCs w:val="31"/>
        <w:spacing w:val="-12"/>
      </w:rPr>
      <w:t>12—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259"/>
      <w:spacing w:before="1" w:line="183" w:lineRule="auto"/>
      <w:jc w:val="right"/>
      <w:rPr>
        <w:rFonts w:ascii="SimSun" w:hAnsi="SimSun" w:eastAsia="SimSun" w:cs="SimSun"/>
        <w:sz w:val="29"/>
        <w:szCs w:val="29"/>
      </w:rPr>
    </w:pPr>
    <w:r>
      <w:rPr>
        <w:rFonts w:ascii="SimSun" w:hAnsi="SimSun" w:eastAsia="SimSun" w:cs="SimSun"/>
        <w:sz w:val="29"/>
        <w:szCs w:val="29"/>
        <w:spacing w:val="-11"/>
      </w:rPr>
      <w:t>—</w:t>
    </w:r>
    <w:r>
      <w:rPr>
        <w:rFonts w:ascii="SimSun" w:hAnsi="SimSun" w:eastAsia="SimSun" w:cs="SimSun"/>
        <w:sz w:val="29"/>
        <w:szCs w:val="29"/>
        <w:spacing w:val="-111"/>
      </w:rPr>
      <w:t xml:space="preserve"> </w:t>
    </w:r>
    <w:r>
      <w:rPr>
        <w:rFonts w:ascii="SimSun" w:hAnsi="SimSun" w:eastAsia="SimSun" w:cs="SimSun"/>
        <w:sz w:val="29"/>
        <w:szCs w:val="29"/>
        <w:spacing w:val="-11"/>
      </w:rPr>
      <w:t>13—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83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12"/>
      </w:rPr>
      <w:t>—</w:t>
    </w:r>
    <w:r>
      <w:rPr>
        <w:rFonts w:ascii="SimSun" w:hAnsi="SimSun" w:eastAsia="SimSun" w:cs="SimSun"/>
        <w:sz w:val="31"/>
        <w:szCs w:val="31"/>
        <w:spacing w:val="-118"/>
      </w:rPr>
      <w:t xml:space="preserve"> </w:t>
    </w:r>
    <w:r>
      <w:rPr>
        <w:rFonts w:ascii="SimSun" w:hAnsi="SimSun" w:eastAsia="SimSun" w:cs="SimSun"/>
        <w:sz w:val="31"/>
        <w:szCs w:val="31"/>
        <w:spacing w:val="-12"/>
      </w:rPr>
      <w:t>14—</w:t>
    </w:r>
  </w:p>
</w:ftr>
</file>

<file path=word/footer1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373"/>
      <w:spacing w:before="1" w:line="183" w:lineRule="auto"/>
      <w:jc w:val="right"/>
      <w:rPr>
        <w:rFonts w:ascii="SimSun" w:hAnsi="SimSun" w:eastAsia="SimSun" w:cs="SimSun"/>
        <w:sz w:val="29"/>
        <w:szCs w:val="29"/>
      </w:rPr>
    </w:pPr>
    <w:r>
      <w:rPr>
        <w:rFonts w:ascii="SimSun" w:hAnsi="SimSun" w:eastAsia="SimSun" w:cs="SimSun"/>
        <w:sz w:val="29"/>
        <w:szCs w:val="29"/>
        <w:spacing w:val="-11"/>
      </w:rPr>
      <w:t>—</w:t>
    </w:r>
    <w:r>
      <w:rPr>
        <w:rFonts w:ascii="SimSun" w:hAnsi="SimSun" w:eastAsia="SimSun" w:cs="SimSun"/>
        <w:sz w:val="29"/>
        <w:szCs w:val="29"/>
        <w:spacing w:val="-111"/>
      </w:rPr>
      <w:t xml:space="preserve"> </w:t>
    </w:r>
    <w:r>
      <w:rPr>
        <w:rFonts w:ascii="SimSun" w:hAnsi="SimSun" w:eastAsia="SimSun" w:cs="SimSun"/>
        <w:sz w:val="29"/>
        <w:szCs w:val="29"/>
        <w:spacing w:val="-11"/>
      </w:rPr>
      <w:t>15—</w:t>
    </w:r>
  </w:p>
</w:ftr>
</file>

<file path=word/footer1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24"/>
      <w:spacing w:before="1" w:line="183" w:lineRule="auto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10"/>
      </w:rPr>
      <w:t>—</w:t>
    </w:r>
    <w:r>
      <w:rPr>
        <w:rFonts w:ascii="SimSun" w:hAnsi="SimSun" w:eastAsia="SimSun" w:cs="SimSun"/>
        <w:sz w:val="27"/>
        <w:szCs w:val="27"/>
        <w:spacing w:val="-105"/>
      </w:rPr>
      <w:t xml:space="preserve"> </w:t>
    </w:r>
    <w:r>
      <w:rPr>
        <w:rFonts w:ascii="SimSun" w:hAnsi="SimSun" w:eastAsia="SimSun" w:cs="SimSun"/>
        <w:sz w:val="27"/>
        <w:szCs w:val="27"/>
        <w:spacing w:val="-10"/>
      </w:rPr>
      <w:t>16—</w:t>
    </w:r>
  </w:p>
</w:ftr>
</file>

<file path=word/footer1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334"/>
      <w:spacing w:before="1" w:line="183" w:lineRule="auto"/>
      <w:jc w:val="right"/>
      <w:rPr>
        <w:rFonts w:ascii="SimSun" w:hAnsi="SimSun" w:eastAsia="SimSun" w:cs="SimSun"/>
        <w:sz w:val="29"/>
        <w:szCs w:val="29"/>
      </w:rPr>
    </w:pPr>
    <w:r>
      <w:rPr>
        <w:rFonts w:ascii="SimSun" w:hAnsi="SimSun" w:eastAsia="SimSun" w:cs="SimSun"/>
        <w:sz w:val="29"/>
        <w:szCs w:val="29"/>
        <w:spacing w:val="-11"/>
      </w:rPr>
      <w:t>—</w:t>
    </w:r>
    <w:r>
      <w:rPr>
        <w:rFonts w:ascii="SimSun" w:hAnsi="SimSun" w:eastAsia="SimSun" w:cs="SimSun"/>
        <w:sz w:val="29"/>
        <w:szCs w:val="29"/>
        <w:spacing w:val="-111"/>
      </w:rPr>
      <w:t xml:space="preserve"> </w:t>
    </w:r>
    <w:r>
      <w:rPr>
        <w:rFonts w:ascii="SimSun" w:hAnsi="SimSun" w:eastAsia="SimSun" w:cs="SimSun"/>
        <w:sz w:val="29"/>
        <w:szCs w:val="29"/>
        <w:spacing w:val="-11"/>
      </w:rPr>
      <w:t>17—</w:t>
    </w:r>
  </w:p>
</w:ftr>
</file>

<file path=word/footer1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44"/>
      <w:spacing w:before="1" w:line="183" w:lineRule="auto"/>
      <w:rPr>
        <w:rFonts w:ascii="SimSun" w:hAnsi="SimSun" w:eastAsia="SimSun" w:cs="SimSun"/>
        <w:sz w:val="29"/>
        <w:szCs w:val="29"/>
      </w:rPr>
    </w:pPr>
    <w:r>
      <w:rPr>
        <w:rFonts w:ascii="SimSun" w:hAnsi="SimSun" w:eastAsia="SimSun" w:cs="SimSun"/>
        <w:sz w:val="29"/>
        <w:szCs w:val="29"/>
        <w:spacing w:val="-11"/>
      </w:rPr>
      <w:t>—</w:t>
    </w:r>
    <w:r>
      <w:rPr>
        <w:rFonts w:ascii="SimSun" w:hAnsi="SimSun" w:eastAsia="SimSun" w:cs="SimSun"/>
        <w:sz w:val="29"/>
        <w:szCs w:val="29"/>
        <w:spacing w:val="-111"/>
      </w:rPr>
      <w:t xml:space="preserve"> </w:t>
    </w:r>
    <w:r>
      <w:rPr>
        <w:rFonts w:ascii="SimSun" w:hAnsi="SimSun" w:eastAsia="SimSun" w:cs="SimSun"/>
        <w:sz w:val="29"/>
        <w:szCs w:val="29"/>
        <w:spacing w:val="-11"/>
      </w:rPr>
      <w:t>18—</w:t>
    </w:r>
  </w:p>
</w:ftr>
</file>

<file path=word/footer1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413"/>
      <w:spacing w:before="1" w:line="183" w:lineRule="auto"/>
      <w:jc w:val="righ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10"/>
      </w:rPr>
      <w:t>—</w:t>
    </w:r>
    <w:r>
      <w:rPr>
        <w:rFonts w:ascii="SimSun" w:hAnsi="SimSun" w:eastAsia="SimSun" w:cs="SimSun"/>
        <w:sz w:val="27"/>
        <w:szCs w:val="27"/>
        <w:spacing w:val="-105"/>
      </w:rPr>
      <w:t xml:space="preserve"> </w:t>
    </w:r>
    <w:r>
      <w:rPr>
        <w:rFonts w:ascii="SimSun" w:hAnsi="SimSun" w:eastAsia="SimSun" w:cs="SimSun"/>
        <w:sz w:val="27"/>
        <w:szCs w:val="27"/>
        <w:spacing w:val="-10"/>
      </w:rPr>
      <w:t>19—</w:t>
    </w:r>
  </w:p>
</w:ftr>
</file>

<file path=word/footer2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5"/>
      <w:spacing w:line="183" w:lineRule="auto"/>
      <w:rPr>
        <w:rFonts w:ascii="SimSun" w:hAnsi="SimSun" w:eastAsia="SimSun" w:cs="SimSun"/>
        <w:sz w:val="29"/>
        <w:szCs w:val="29"/>
      </w:rPr>
    </w:pPr>
    <w:r>
      <w:rPr>
        <w:rFonts w:ascii="SimSun" w:hAnsi="SimSun" w:eastAsia="SimSun" w:cs="SimSun"/>
        <w:sz w:val="29"/>
        <w:szCs w:val="29"/>
        <w:spacing w:val="-3"/>
      </w:rPr>
      <w:t>—20—</w:t>
    </w:r>
  </w:p>
</w:ftr>
</file>

<file path=word/footer2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244"/>
      <w:spacing w:before="1" w:line="183" w:lineRule="auto"/>
      <w:jc w:val="right"/>
      <w:rPr>
        <w:rFonts w:ascii="SimSun" w:hAnsi="SimSun" w:eastAsia="SimSun" w:cs="SimSun"/>
        <w:sz w:val="30"/>
        <w:szCs w:val="30"/>
      </w:rPr>
    </w:pPr>
    <w:r>
      <w:rPr>
        <w:rFonts w:ascii="SimSun" w:hAnsi="SimSun" w:eastAsia="SimSun" w:cs="SimSun"/>
        <w:sz w:val="30"/>
        <w:szCs w:val="30"/>
        <w:spacing w:val="-3"/>
      </w:rPr>
      <w:t>—21—</w:t>
    </w:r>
  </w:p>
</w:ftr>
</file>

<file path=word/footer2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5"/>
      <w:spacing w:before="1" w:line="182" w:lineRule="auto"/>
      <w:rPr>
        <w:rFonts w:ascii="SimSun" w:hAnsi="SimSun" w:eastAsia="SimSun" w:cs="SimSun"/>
        <w:sz w:val="29"/>
        <w:szCs w:val="29"/>
      </w:rPr>
    </w:pPr>
    <w:r>
      <w:rPr>
        <w:rFonts w:ascii="SimSun" w:hAnsi="SimSun" w:eastAsia="SimSun" w:cs="SimSun"/>
        <w:sz w:val="29"/>
        <w:szCs w:val="29"/>
        <w:spacing w:val="-3"/>
      </w:rPr>
      <w:t>—22—</w:t>
    </w:r>
  </w:p>
</w:ftr>
</file>

<file path=word/footer2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348"/>
      <w:spacing w:line="183" w:lineRule="auto"/>
      <w:jc w:val="righ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3"/>
      </w:rPr>
      <w:t>—23—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0" Type="http://schemas.openxmlformats.org/officeDocument/2006/relationships/fontTable" Target="fontTable.xml"/><Relationship Id="rId3" Type="http://schemas.openxmlformats.org/officeDocument/2006/relationships/image" Target="media/image2.png"/><Relationship Id="rId29" Type="http://schemas.openxmlformats.org/officeDocument/2006/relationships/styles" Target="styles.xml"/><Relationship Id="rId28" Type="http://schemas.openxmlformats.org/officeDocument/2006/relationships/settings" Target="settings.xml"/><Relationship Id="rId27" Type="http://schemas.openxmlformats.org/officeDocument/2006/relationships/image" Target="media/image4.png"/><Relationship Id="rId26" Type="http://schemas.openxmlformats.org/officeDocument/2006/relationships/image" Target="media/image3.png"/><Relationship Id="rId25" Type="http://schemas.openxmlformats.org/officeDocument/2006/relationships/footer" Target="footer23.xml"/><Relationship Id="rId24" Type="http://schemas.openxmlformats.org/officeDocument/2006/relationships/footer" Target="footer22.xml"/><Relationship Id="rId23" Type="http://schemas.openxmlformats.org/officeDocument/2006/relationships/footer" Target="footer21.xml"/><Relationship Id="rId22" Type="http://schemas.openxmlformats.org/officeDocument/2006/relationships/footer" Target="footer20.xml"/><Relationship Id="rId21" Type="http://schemas.openxmlformats.org/officeDocument/2006/relationships/footer" Target="footer19.xml"/><Relationship Id="rId20" Type="http://schemas.openxmlformats.org/officeDocument/2006/relationships/footer" Target="footer18.xml"/><Relationship Id="rId2" Type="http://schemas.openxmlformats.org/officeDocument/2006/relationships/image" Target="media/image1.jpeg"/><Relationship Id="rId19" Type="http://schemas.openxmlformats.org/officeDocument/2006/relationships/footer" Target="footer17.xml"/><Relationship Id="rId18" Type="http://schemas.openxmlformats.org/officeDocument/2006/relationships/footer" Target="footer16.xml"/><Relationship Id="rId17" Type="http://schemas.openxmlformats.org/officeDocument/2006/relationships/footer" Target="footer15.xml"/><Relationship Id="rId16" Type="http://schemas.openxmlformats.org/officeDocument/2006/relationships/footer" Target="footer14.xml"/><Relationship Id="rId15" Type="http://schemas.openxmlformats.org/officeDocument/2006/relationships/footer" Target="footer13.xml"/><Relationship Id="rId14" Type="http://schemas.openxmlformats.org/officeDocument/2006/relationships/footer" Target="footer12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2023-10-10T17:23:54Z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2023-10-10T17:23:56</vt:filetime>
  </property>
  <property fmtid="{D5CDD505-2E9C-101B-9397-08002B2CF9AE}" pid="4" name="UsrData">
    <vt:lpwstr>652518255642dc002065298ewl</vt:lpwstr>
  </property>
</Properties>
</file>